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49BC1" w14:textId="77777777" w:rsidR="00E36DA8" w:rsidRPr="00672273" w:rsidRDefault="00E36DA8" w:rsidP="00934BE1">
      <w:pPr>
        <w:autoSpaceDE w:val="0"/>
        <w:autoSpaceDN w:val="0"/>
        <w:adjustRightInd w:val="0"/>
        <w:spacing w:line="320" w:lineRule="atLeast"/>
        <w:ind w:right="349"/>
        <w:jc w:val="right"/>
        <w:rPr>
          <w:b/>
          <w:i/>
          <w:noProof/>
          <w:spacing w:val="80"/>
          <w:lang w:val="ro-RO"/>
        </w:rPr>
      </w:pPr>
      <w:r w:rsidRPr="00672273">
        <w:rPr>
          <w:b/>
          <w:i/>
          <w:noProof/>
          <w:spacing w:val="80"/>
          <w:lang w:val="ro-RO"/>
        </w:rPr>
        <w:t xml:space="preserve">ANEXA </w:t>
      </w:r>
      <w:r w:rsidR="00340C94">
        <w:rPr>
          <w:b/>
          <w:i/>
          <w:noProof/>
          <w:spacing w:val="80"/>
          <w:lang w:val="ro-RO"/>
        </w:rPr>
        <w:t>4</w:t>
      </w:r>
      <w:r>
        <w:rPr>
          <w:b/>
          <w:i/>
          <w:noProof/>
          <w:spacing w:val="80"/>
          <w:lang w:val="ro-RO"/>
        </w:rPr>
        <w:t>.1</w:t>
      </w:r>
    </w:p>
    <w:p w14:paraId="6E781B8B" w14:textId="58E977B4" w:rsidR="00734AD4" w:rsidRPr="00DA57B6" w:rsidRDefault="00734AD4" w:rsidP="00734AD4">
      <w:pPr>
        <w:autoSpaceDE w:val="0"/>
        <w:autoSpaceDN w:val="0"/>
        <w:adjustRightInd w:val="0"/>
        <w:spacing w:line="320" w:lineRule="atLeast"/>
        <w:jc w:val="both"/>
        <w:rPr>
          <w:b/>
          <w:noProof/>
          <w:lang w:val="ro-RO"/>
        </w:rPr>
      </w:pPr>
      <w:r w:rsidRPr="00734AD4">
        <w:rPr>
          <w:bCs/>
          <w:noProof/>
          <w:lang w:val="ro-RO"/>
        </w:rPr>
        <w:t xml:space="preserve">Nume </w:t>
      </w:r>
      <w:r>
        <w:rPr>
          <w:bCs/>
          <w:noProof/>
          <w:lang w:val="ro-RO"/>
        </w:rPr>
        <w:t>P</w:t>
      </w:r>
      <w:r w:rsidRPr="00734AD4">
        <w:rPr>
          <w:bCs/>
          <w:noProof/>
          <w:lang w:val="ro-RO"/>
        </w:rPr>
        <w:t>renume</w:t>
      </w:r>
      <w:r w:rsidRPr="00734AD4">
        <w:rPr>
          <w:bCs/>
          <w:iCs/>
          <w:lang w:val="ro-RO"/>
        </w:rPr>
        <w:t xml:space="preserve">: </w:t>
      </w:r>
      <w:r w:rsidR="008C783F" w:rsidRPr="00DA57B6">
        <w:rPr>
          <w:b/>
          <w:iCs/>
          <w:lang w:val="ro-RO"/>
        </w:rPr>
        <w:t>Fogarasi Szabolcs</w:t>
      </w:r>
    </w:p>
    <w:p w14:paraId="10C59AEF" w14:textId="4775AFD3" w:rsidR="00734AD4" w:rsidRPr="00734AD4" w:rsidRDefault="00734AD4" w:rsidP="00734AD4">
      <w:pPr>
        <w:autoSpaceDE w:val="0"/>
        <w:autoSpaceDN w:val="0"/>
        <w:adjustRightInd w:val="0"/>
        <w:spacing w:line="320" w:lineRule="atLeast"/>
        <w:jc w:val="both"/>
        <w:rPr>
          <w:bCs/>
          <w:noProof/>
          <w:lang w:val="ro-RO"/>
        </w:rPr>
      </w:pPr>
      <w:r w:rsidRPr="00734AD4">
        <w:rPr>
          <w:bCs/>
          <w:noProof/>
          <w:lang w:val="ro-RO"/>
        </w:rPr>
        <w:t>Gradul didactic</w:t>
      </w:r>
      <w:r w:rsidRPr="00734AD4">
        <w:rPr>
          <w:bCs/>
          <w:iCs/>
          <w:lang w:val="ro-RO"/>
        </w:rPr>
        <w:t xml:space="preserve">: </w:t>
      </w:r>
      <w:r w:rsidR="008C783F">
        <w:rPr>
          <w:bCs/>
          <w:iCs/>
          <w:lang w:val="ro-RO"/>
        </w:rPr>
        <w:t>Conferențiar</w:t>
      </w:r>
      <w:r w:rsidR="000F1144">
        <w:rPr>
          <w:bCs/>
          <w:iCs/>
          <w:lang w:val="ro-RO"/>
        </w:rPr>
        <w:t xml:space="preserve"> universitar</w:t>
      </w:r>
    </w:p>
    <w:p w14:paraId="07D58AFC" w14:textId="341CE019" w:rsidR="00734AD4" w:rsidRPr="00734AD4" w:rsidRDefault="00734AD4" w:rsidP="00734AD4">
      <w:pPr>
        <w:spacing w:before="120" w:after="120"/>
        <w:rPr>
          <w:bCs/>
          <w:iCs/>
          <w:lang w:val="ro-RO"/>
        </w:rPr>
      </w:pPr>
      <w:r w:rsidRPr="00734AD4">
        <w:rPr>
          <w:bCs/>
          <w:iCs/>
          <w:lang w:val="ro-RO"/>
        </w:rPr>
        <w:t>Instituția</w:t>
      </w:r>
      <w:r>
        <w:rPr>
          <w:bCs/>
          <w:iCs/>
          <w:lang w:val="ro-RO"/>
        </w:rPr>
        <w:t xml:space="preserve"> unde este titular</w:t>
      </w:r>
      <w:r w:rsidRPr="00734AD4">
        <w:rPr>
          <w:bCs/>
          <w:iCs/>
          <w:lang w:val="ro-RO"/>
        </w:rPr>
        <w:t xml:space="preserve">: </w:t>
      </w:r>
      <w:r w:rsidR="000F1144">
        <w:rPr>
          <w:bCs/>
          <w:iCs/>
          <w:lang w:val="ro-RO"/>
        </w:rPr>
        <w:t>Universitatea „Babeș-Bolyai”</w:t>
      </w:r>
    </w:p>
    <w:p w14:paraId="264195F4" w14:textId="435DC540" w:rsidR="00E36DA8" w:rsidRPr="00424B19" w:rsidRDefault="00E36DA8" w:rsidP="00934BE1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  <w:r w:rsidRPr="00424B19">
        <w:rPr>
          <w:noProof/>
          <w:lang w:val="ro-RO"/>
        </w:rPr>
        <w:t>Facultatea</w:t>
      </w:r>
      <w:r w:rsidR="00734AD4" w:rsidRPr="00734AD4">
        <w:rPr>
          <w:bCs/>
          <w:iCs/>
          <w:lang w:val="ro-RO"/>
        </w:rPr>
        <w:t xml:space="preserve">: </w:t>
      </w:r>
      <w:r w:rsidR="008C783F" w:rsidRPr="008C783F">
        <w:rPr>
          <w:bCs/>
          <w:iCs/>
          <w:lang w:val="ro-RO"/>
        </w:rPr>
        <w:t xml:space="preserve">Chimie </w:t>
      </w:r>
      <w:proofErr w:type="spellStart"/>
      <w:r w:rsidR="008C783F" w:rsidRPr="008C783F">
        <w:rPr>
          <w:bCs/>
          <w:iCs/>
          <w:lang w:val="ro-RO"/>
        </w:rPr>
        <w:t>şi</w:t>
      </w:r>
      <w:proofErr w:type="spellEnd"/>
      <w:r w:rsidR="008C783F" w:rsidRPr="008C783F">
        <w:rPr>
          <w:bCs/>
          <w:iCs/>
          <w:lang w:val="ro-RO"/>
        </w:rPr>
        <w:t xml:space="preserve"> Inginerie</w:t>
      </w:r>
      <w:r w:rsidR="008C783F">
        <w:rPr>
          <w:bCs/>
          <w:iCs/>
          <w:lang w:val="ro-RO"/>
        </w:rPr>
        <w:t xml:space="preserve"> </w:t>
      </w:r>
      <w:r w:rsidR="008C783F" w:rsidRPr="008C783F">
        <w:rPr>
          <w:bCs/>
          <w:iCs/>
          <w:lang w:val="ro-RO"/>
        </w:rPr>
        <w:t>Chimică</w:t>
      </w:r>
    </w:p>
    <w:p w14:paraId="6D822B11" w14:textId="7F9ADC4E" w:rsidR="00E36DA8" w:rsidRDefault="00663A89" w:rsidP="00934BE1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  <w:r>
        <w:rPr>
          <w:noProof/>
          <w:lang w:val="ro-RO"/>
        </w:rPr>
        <w:t>Departamentul</w:t>
      </w:r>
      <w:r w:rsidR="00734AD4" w:rsidRPr="00734AD4">
        <w:rPr>
          <w:bCs/>
          <w:iCs/>
          <w:lang w:val="ro-RO"/>
        </w:rPr>
        <w:t xml:space="preserve">: </w:t>
      </w:r>
      <w:r w:rsidR="008C783F" w:rsidRPr="008C783F">
        <w:rPr>
          <w:bCs/>
          <w:iCs/>
          <w:lang w:val="ro-RO"/>
        </w:rPr>
        <w:t>Inginerie Chimică</w:t>
      </w:r>
    </w:p>
    <w:p w14:paraId="35BB1068" w14:textId="77777777" w:rsidR="00E36DA8" w:rsidRDefault="00E36DA8" w:rsidP="00934BE1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</w:p>
    <w:p w14:paraId="6471288A" w14:textId="77777777" w:rsidR="00E36DA8" w:rsidRPr="00672273" w:rsidRDefault="00E36DA8" w:rsidP="00934BE1">
      <w:pPr>
        <w:autoSpaceDE w:val="0"/>
        <w:autoSpaceDN w:val="0"/>
        <w:adjustRightInd w:val="0"/>
        <w:spacing w:line="320" w:lineRule="atLeast"/>
        <w:jc w:val="center"/>
        <w:rPr>
          <w:b/>
          <w:noProof/>
          <w:spacing w:val="100"/>
          <w:sz w:val="32"/>
          <w:szCs w:val="32"/>
          <w:lang w:val="ro-RO"/>
        </w:rPr>
      </w:pPr>
      <w:r w:rsidRPr="00672273">
        <w:rPr>
          <w:b/>
          <w:noProof/>
          <w:spacing w:val="100"/>
          <w:sz w:val="32"/>
          <w:szCs w:val="32"/>
          <w:lang w:val="ro-RO"/>
        </w:rPr>
        <w:t>LISTA</w:t>
      </w:r>
    </w:p>
    <w:p w14:paraId="642D3044" w14:textId="77777777" w:rsidR="00E36DA8" w:rsidRPr="00EB729A" w:rsidRDefault="00E36DA8" w:rsidP="00934BE1">
      <w:pPr>
        <w:autoSpaceDE w:val="0"/>
        <w:autoSpaceDN w:val="0"/>
        <w:adjustRightInd w:val="0"/>
        <w:spacing w:line="320" w:lineRule="atLeast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lucrărilor ştiinţifice</w:t>
      </w:r>
      <w:r w:rsidRPr="00EB729A">
        <w:rPr>
          <w:b/>
          <w:sz w:val="28"/>
          <w:szCs w:val="28"/>
          <w:lang w:val="ro-RO"/>
        </w:rPr>
        <w:t xml:space="preserve"> în domeniul disciplinelor din postul didactic</w:t>
      </w:r>
    </w:p>
    <w:p w14:paraId="34A17D64" w14:textId="77777777" w:rsidR="00E36DA8" w:rsidRDefault="00E36DA8" w:rsidP="00934BE1">
      <w:pPr>
        <w:autoSpaceDE w:val="0"/>
        <w:autoSpaceDN w:val="0"/>
        <w:adjustRightInd w:val="0"/>
        <w:spacing w:line="320" w:lineRule="atLeast"/>
        <w:rPr>
          <w:noProof/>
          <w:lang w:val="ro-RO"/>
        </w:rPr>
      </w:pPr>
    </w:p>
    <w:p w14:paraId="32543341" w14:textId="77777777" w:rsidR="00E36DA8" w:rsidRPr="00424B19" w:rsidRDefault="00E36DA8" w:rsidP="00934BE1">
      <w:pPr>
        <w:autoSpaceDE w:val="0"/>
        <w:autoSpaceDN w:val="0"/>
        <w:adjustRightInd w:val="0"/>
        <w:spacing w:line="320" w:lineRule="atLeast"/>
        <w:rPr>
          <w:noProof/>
          <w:lang w:val="ro-RO"/>
        </w:rPr>
      </w:pPr>
    </w:p>
    <w:p w14:paraId="633F1ADB" w14:textId="77777777" w:rsidR="00E36DA8" w:rsidRPr="00424B19" w:rsidRDefault="00E36DA8" w:rsidP="00E36DA8">
      <w:pPr>
        <w:numPr>
          <w:ilvl w:val="0"/>
          <w:numId w:val="9"/>
        </w:numPr>
        <w:tabs>
          <w:tab w:val="left" w:pos="399"/>
        </w:tabs>
        <w:autoSpaceDE w:val="0"/>
        <w:autoSpaceDN w:val="0"/>
        <w:adjustRightInd w:val="0"/>
        <w:spacing w:line="320" w:lineRule="atLeast"/>
        <w:ind w:left="0" w:firstLine="0"/>
        <w:jc w:val="both"/>
        <w:rPr>
          <w:b/>
          <w:noProof/>
          <w:lang w:val="ro-RO"/>
        </w:rPr>
      </w:pPr>
      <w:r w:rsidRPr="00424B19">
        <w:rPr>
          <w:b/>
          <w:noProof/>
          <w:lang w:val="ro-RO"/>
        </w:rPr>
        <w:t>Teza de doctorat</w:t>
      </w:r>
    </w:p>
    <w:p w14:paraId="00A026DE" w14:textId="2AEC0776" w:rsidR="003C3718" w:rsidRPr="003C3718" w:rsidRDefault="003C3718" w:rsidP="003C3718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3C3718">
        <w:rPr>
          <w:noProof/>
          <w:spacing w:val="-2"/>
          <w:lang w:val="ro-RO"/>
        </w:rPr>
        <w:t xml:space="preserve">Doctor </w:t>
      </w:r>
      <w:r w:rsidR="00A401F0">
        <w:rPr>
          <w:noProof/>
          <w:spacing w:val="-2"/>
          <w:lang w:val="ro-RO"/>
        </w:rPr>
        <w:t xml:space="preserve">în </w:t>
      </w:r>
      <w:r w:rsidR="00A401F0" w:rsidRPr="00A401F0">
        <w:rPr>
          <w:noProof/>
          <w:spacing w:val="-2"/>
          <w:lang w:val="ro-RO"/>
        </w:rPr>
        <w:t>Inginerie Chimică</w:t>
      </w:r>
      <w:r w:rsidRPr="003C3718">
        <w:rPr>
          <w:noProof/>
          <w:spacing w:val="-2"/>
          <w:lang w:val="ro-RO"/>
        </w:rPr>
        <w:t xml:space="preserve"> al </w:t>
      </w:r>
      <w:r w:rsidR="0020525D">
        <w:rPr>
          <w:bCs/>
          <w:iCs/>
          <w:lang w:val="ro-RO"/>
        </w:rPr>
        <w:t>Universității</w:t>
      </w:r>
      <w:r w:rsidR="00A401F0">
        <w:rPr>
          <w:bCs/>
          <w:iCs/>
          <w:lang w:val="ro-RO"/>
        </w:rPr>
        <w:t xml:space="preserve"> „Babeș-Bolyai”</w:t>
      </w:r>
      <w:r w:rsidRPr="003C3718">
        <w:rPr>
          <w:noProof/>
          <w:spacing w:val="-2"/>
          <w:lang w:val="ro-RO"/>
        </w:rPr>
        <w:t>.</w:t>
      </w:r>
    </w:p>
    <w:p w14:paraId="1AFFC022" w14:textId="4704F908" w:rsidR="003C3718" w:rsidRPr="003C3718" w:rsidRDefault="003C3718" w:rsidP="003C3718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3C3718">
        <w:rPr>
          <w:noProof/>
          <w:spacing w:val="-2"/>
          <w:lang w:val="ro-RO"/>
        </w:rPr>
        <w:t xml:space="preserve">Titlul tezei: </w:t>
      </w:r>
      <w:r w:rsidR="008C783F" w:rsidRPr="008C783F">
        <w:rPr>
          <w:noProof/>
          <w:spacing w:val="-2"/>
          <w:lang w:val="ro-RO"/>
        </w:rPr>
        <w:t>Recuperarea aurului şi argintului din deșeuri de plăci de circuite imprimate</w:t>
      </w:r>
      <w:r w:rsidRPr="003C3718">
        <w:rPr>
          <w:noProof/>
          <w:spacing w:val="-2"/>
          <w:lang w:val="ro-RO"/>
        </w:rPr>
        <w:t>.</w:t>
      </w:r>
    </w:p>
    <w:p w14:paraId="607A95A4" w14:textId="57B4E209" w:rsidR="003C3718" w:rsidRPr="003C3718" w:rsidRDefault="003C3718" w:rsidP="003C3718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3C3718">
        <w:rPr>
          <w:noProof/>
          <w:spacing w:val="-2"/>
          <w:lang w:val="ro-RO"/>
        </w:rPr>
        <w:t>(</w:t>
      </w:r>
      <w:hyperlink r:id="rId7" w:history="1">
        <w:r w:rsidR="00A401F0" w:rsidRPr="00B20F39">
          <w:rPr>
            <w:rStyle w:val="Hyperlink"/>
            <w:noProof/>
            <w:spacing w:val="-2"/>
            <w:lang w:val="ro-RO"/>
          </w:rPr>
          <w:t>https://doctorat.ubbcluj.ro/ro/sustinerile-publice-ale-tezelor-de-doctorat/?an=2012&amp;luna=0&amp;facultate=3&amp;domeniu=2</w:t>
        </w:r>
      </w:hyperlink>
      <w:r w:rsidR="00A401F0">
        <w:rPr>
          <w:noProof/>
          <w:spacing w:val="-2"/>
          <w:lang w:val="ro-RO"/>
        </w:rPr>
        <w:t xml:space="preserve"> </w:t>
      </w:r>
      <w:r w:rsidRPr="003C3718">
        <w:rPr>
          <w:noProof/>
          <w:spacing w:val="-2"/>
          <w:lang w:val="ro-RO"/>
        </w:rPr>
        <w:t>)</w:t>
      </w:r>
    </w:p>
    <w:p w14:paraId="59CBB03F" w14:textId="65F5932D" w:rsidR="003C3718" w:rsidRPr="003C3718" w:rsidRDefault="003C3718" w:rsidP="003C3718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3C3718">
        <w:rPr>
          <w:noProof/>
          <w:spacing w:val="-2"/>
          <w:lang w:val="ro-RO"/>
        </w:rPr>
        <w:t xml:space="preserve">Conducător științific: </w:t>
      </w:r>
      <w:r w:rsidR="00A401F0" w:rsidRPr="00A401F0">
        <w:rPr>
          <w:noProof/>
          <w:spacing w:val="-2"/>
          <w:lang w:val="ro-RO"/>
        </w:rPr>
        <w:t>Prof. dr. ing. Petru Ilea</w:t>
      </w:r>
      <w:r w:rsidRPr="003C3718">
        <w:rPr>
          <w:noProof/>
          <w:spacing w:val="-2"/>
          <w:lang w:val="ro-RO"/>
        </w:rPr>
        <w:t xml:space="preserve">. </w:t>
      </w:r>
    </w:p>
    <w:p w14:paraId="06F62006" w14:textId="0820E9AD" w:rsidR="00E36DA8" w:rsidRDefault="003C3718" w:rsidP="003C3718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3C3718">
        <w:rPr>
          <w:noProof/>
          <w:spacing w:val="-2"/>
          <w:lang w:val="ro-RO"/>
        </w:rPr>
        <w:t xml:space="preserve">Titlul a fost </w:t>
      </w:r>
      <w:r w:rsidR="00A401F0">
        <w:rPr>
          <w:noProof/>
          <w:spacing w:val="-2"/>
          <w:lang w:val="ro-RO"/>
        </w:rPr>
        <w:t>acordat în baza ordinului</w:t>
      </w:r>
      <w:r w:rsidRPr="003C3718">
        <w:rPr>
          <w:noProof/>
          <w:spacing w:val="-2"/>
          <w:lang w:val="ro-RO"/>
        </w:rPr>
        <w:t xml:space="preserve"> Ministerul Educației, Cercetării</w:t>
      </w:r>
      <w:r w:rsidR="00A401F0">
        <w:rPr>
          <w:noProof/>
          <w:spacing w:val="-2"/>
          <w:lang w:val="ro-RO"/>
        </w:rPr>
        <w:t xml:space="preserve">, </w:t>
      </w:r>
      <w:r w:rsidRPr="003C3718">
        <w:rPr>
          <w:noProof/>
          <w:spacing w:val="-2"/>
          <w:lang w:val="ro-RO"/>
        </w:rPr>
        <w:t xml:space="preserve">Tineretului </w:t>
      </w:r>
      <w:r w:rsidR="00A401F0" w:rsidRPr="003C3718">
        <w:rPr>
          <w:noProof/>
          <w:spacing w:val="-2"/>
          <w:lang w:val="ro-RO"/>
        </w:rPr>
        <w:t xml:space="preserve">și </w:t>
      </w:r>
      <w:r w:rsidR="00510F8F">
        <w:rPr>
          <w:noProof/>
          <w:spacing w:val="-2"/>
          <w:lang w:val="ro-RO"/>
        </w:rPr>
        <w:t xml:space="preserve">Sportului </w:t>
      </w:r>
      <w:r w:rsidRPr="003C3718">
        <w:rPr>
          <w:noProof/>
          <w:spacing w:val="-2"/>
          <w:lang w:val="ro-RO"/>
        </w:rPr>
        <w:t xml:space="preserve">din România Nr. </w:t>
      </w:r>
      <w:r w:rsidR="00A401F0">
        <w:rPr>
          <w:noProof/>
          <w:spacing w:val="-2"/>
          <w:lang w:val="ro-RO"/>
        </w:rPr>
        <w:t>6508</w:t>
      </w:r>
      <w:r w:rsidRPr="003C3718">
        <w:rPr>
          <w:noProof/>
          <w:spacing w:val="-2"/>
          <w:lang w:val="ro-RO"/>
        </w:rPr>
        <w:t xml:space="preserve"> din </w:t>
      </w:r>
      <w:r w:rsidR="00A401F0">
        <w:rPr>
          <w:noProof/>
          <w:spacing w:val="-2"/>
          <w:lang w:val="ro-RO"/>
        </w:rPr>
        <w:t>19.12.2012</w:t>
      </w:r>
      <w:r w:rsidRPr="003C3718">
        <w:rPr>
          <w:noProof/>
          <w:spacing w:val="-2"/>
          <w:lang w:val="ro-RO"/>
        </w:rPr>
        <w:t>.</w:t>
      </w:r>
    </w:p>
    <w:p w14:paraId="2B373F34" w14:textId="77777777" w:rsidR="00E36DA8" w:rsidRPr="00424B19" w:rsidRDefault="00E36DA8" w:rsidP="00934BE1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</w:p>
    <w:p w14:paraId="5A836278" w14:textId="19AFCA04" w:rsidR="003C3718" w:rsidRPr="000F1144" w:rsidRDefault="00E36DA8" w:rsidP="000F1144">
      <w:pPr>
        <w:numPr>
          <w:ilvl w:val="0"/>
          <w:numId w:val="9"/>
        </w:numPr>
        <w:tabs>
          <w:tab w:val="left" w:pos="142"/>
          <w:tab w:val="left" w:pos="399"/>
        </w:tabs>
        <w:spacing w:line="320" w:lineRule="atLeast"/>
        <w:ind w:hanging="720"/>
        <w:jc w:val="both"/>
        <w:rPr>
          <w:b/>
          <w:noProof/>
          <w:spacing w:val="-2"/>
          <w:lang w:val="ro-RO"/>
        </w:rPr>
      </w:pPr>
      <w:r w:rsidRPr="00424B19">
        <w:rPr>
          <w:b/>
          <w:noProof/>
          <w:spacing w:val="-2"/>
          <w:lang w:val="ro-RO"/>
        </w:rPr>
        <w:t xml:space="preserve">Cărţi si capitole în cărţi </w:t>
      </w:r>
      <w:r w:rsidRPr="00424B19">
        <w:rPr>
          <w:b/>
          <w:lang w:val="ro-RO"/>
        </w:rPr>
        <w:t xml:space="preserve">publicate </w:t>
      </w:r>
      <w:r>
        <w:rPr>
          <w:b/>
          <w:lang w:val="ro-RO"/>
        </w:rPr>
        <w:t>în ultimii 10 ani</w:t>
      </w:r>
      <w:r w:rsidRPr="00424B19">
        <w:rPr>
          <w:b/>
          <w:lang w:val="ro-RO"/>
        </w:rPr>
        <w:t xml:space="preserve"> </w:t>
      </w:r>
      <w:r w:rsidR="000F1144" w:rsidRPr="000F1144">
        <w:rPr>
          <w:b/>
          <w:bCs/>
          <w:noProof/>
        </w:rPr>
        <w:t xml:space="preserve"> </w:t>
      </w:r>
    </w:p>
    <w:p w14:paraId="5D08FC47" w14:textId="4010AB12" w:rsidR="000F1144" w:rsidRPr="009E5736" w:rsidRDefault="005B6EC5" w:rsidP="005B6EC5">
      <w:pPr>
        <w:pStyle w:val="ListParagraph1"/>
        <w:tabs>
          <w:tab w:val="left" w:pos="399"/>
        </w:tabs>
        <w:spacing w:line="320" w:lineRule="atLeast"/>
        <w:ind w:left="0"/>
        <w:jc w:val="both"/>
        <w:rPr>
          <w:rFonts w:ascii="Times New Roman" w:hAnsi="Times New Roman"/>
          <w:noProof/>
          <w:sz w:val="24"/>
          <w:szCs w:val="24"/>
        </w:rPr>
      </w:pPr>
      <w:r w:rsidRPr="009E5736">
        <w:rPr>
          <w:rFonts w:ascii="Times New Roman" w:hAnsi="Times New Roman"/>
          <w:b/>
          <w:bCs/>
          <w:noProof/>
          <w:sz w:val="24"/>
          <w:szCs w:val="24"/>
        </w:rPr>
        <w:t xml:space="preserve">1. </w:t>
      </w:r>
      <w:r w:rsidR="00454CA5" w:rsidRPr="009E5736">
        <w:rPr>
          <w:rFonts w:ascii="Times New Roman" w:hAnsi="Times New Roman"/>
          <w:noProof/>
          <w:sz w:val="24"/>
          <w:szCs w:val="24"/>
        </w:rPr>
        <w:t xml:space="preserve">Barbu‐Radu‐Horațiu Mișca, </w:t>
      </w:r>
      <w:r w:rsidR="00454CA5" w:rsidRPr="009E5736">
        <w:rPr>
          <w:rFonts w:ascii="Times New Roman" w:hAnsi="Times New Roman"/>
          <w:b/>
          <w:bCs/>
          <w:noProof/>
          <w:sz w:val="24"/>
          <w:szCs w:val="24"/>
        </w:rPr>
        <w:t>Szabolcs Fogarasi</w:t>
      </w:r>
      <w:r w:rsidR="00454CA5" w:rsidRPr="009E5736">
        <w:rPr>
          <w:rFonts w:ascii="Times New Roman" w:hAnsi="Times New Roman"/>
          <w:noProof/>
          <w:sz w:val="24"/>
          <w:szCs w:val="24"/>
        </w:rPr>
        <w:t xml:space="preserve">, Îndrumător pentru lucrări practice la disciplina transfer termic și aparate termice,  2015, Presa Universitară Clujeană, Cluj‐Napoca, Romania. p. 165. </w:t>
      </w:r>
      <w:r w:rsidR="00454CA5" w:rsidRPr="009E5736">
        <w:rPr>
          <w:rFonts w:ascii="Times New Roman" w:hAnsi="Times New Roman"/>
          <w:noProof/>
          <w:sz w:val="24"/>
          <w:szCs w:val="24"/>
          <w:lang w:val="en-US"/>
        </w:rPr>
        <w:t>ISBN 978‐973‐595‐844‐2</w:t>
      </w:r>
      <w:bookmarkStart w:id="0" w:name="_Hlk202439313"/>
      <w:r w:rsidR="00454CA5" w:rsidRPr="009E5736">
        <w:rPr>
          <w:rFonts w:ascii="Times New Roman" w:hAnsi="Times New Roman"/>
          <w:noProof/>
          <w:sz w:val="24"/>
          <w:szCs w:val="24"/>
        </w:rPr>
        <w:t>.</w:t>
      </w:r>
    </w:p>
    <w:bookmarkEnd w:id="0"/>
    <w:p w14:paraId="2CD3CAE4" w14:textId="77777777" w:rsidR="00E36DA8" w:rsidRPr="000F1144" w:rsidRDefault="00E36DA8" w:rsidP="00934BE1">
      <w:pPr>
        <w:pStyle w:val="ListParagraph1"/>
        <w:tabs>
          <w:tab w:val="left" w:pos="399"/>
        </w:tabs>
        <w:spacing w:line="320" w:lineRule="atLeast"/>
        <w:ind w:left="0"/>
        <w:jc w:val="both"/>
        <w:rPr>
          <w:noProof/>
        </w:rPr>
      </w:pPr>
    </w:p>
    <w:p w14:paraId="541B459F" w14:textId="77777777" w:rsidR="00E36DA8" w:rsidRPr="00424B19" w:rsidRDefault="00E36DA8" w:rsidP="00E36DA8">
      <w:pPr>
        <w:numPr>
          <w:ilvl w:val="0"/>
          <w:numId w:val="9"/>
        </w:numPr>
        <w:tabs>
          <w:tab w:val="left" w:pos="142"/>
          <w:tab w:val="left" w:pos="399"/>
        </w:tabs>
        <w:spacing w:line="320" w:lineRule="atLeast"/>
        <w:ind w:left="714" w:hanging="714"/>
        <w:jc w:val="both"/>
        <w:rPr>
          <w:b/>
          <w:noProof/>
          <w:spacing w:val="-2"/>
          <w:lang w:val="ro-RO"/>
        </w:rPr>
      </w:pPr>
      <w:r w:rsidRPr="00424B19">
        <w:rPr>
          <w:b/>
          <w:noProof/>
          <w:spacing w:val="-2"/>
          <w:lang w:val="ro-RO"/>
        </w:rPr>
        <w:t xml:space="preserve">Lucrări indexate ISI/BDI </w:t>
      </w:r>
      <w:r w:rsidRPr="00424B19">
        <w:rPr>
          <w:b/>
          <w:lang w:val="ro-RO"/>
        </w:rPr>
        <w:t xml:space="preserve">publicate </w:t>
      </w:r>
      <w:r>
        <w:rPr>
          <w:b/>
          <w:lang w:val="ro-RO"/>
        </w:rPr>
        <w:t>în ultimii 10 ani</w:t>
      </w:r>
      <w:r w:rsidRPr="00424B19">
        <w:rPr>
          <w:b/>
          <w:lang w:val="ro-RO"/>
        </w:rPr>
        <w:t xml:space="preserve"> </w:t>
      </w:r>
    </w:p>
    <w:p w14:paraId="0C53A514" w14:textId="77777777" w:rsidR="005B1D35" w:rsidRPr="005B1D35" w:rsidRDefault="005B1D35" w:rsidP="005B1D35">
      <w:pPr>
        <w:ind w:left="720" w:hanging="720"/>
        <w:rPr>
          <w:noProof/>
        </w:rPr>
      </w:pPr>
      <w:bookmarkStart w:id="1" w:name="_ENREF_1"/>
      <w:r w:rsidRPr="0013781F">
        <w:rPr>
          <w:rFonts w:ascii="Calibri" w:hAnsi="Calibri" w:cs="Calibri"/>
          <w:noProof/>
        </w:rPr>
        <w:t>1.</w:t>
      </w:r>
      <w:r w:rsidRPr="0013781F">
        <w:rPr>
          <w:rFonts w:ascii="Calibri" w:hAnsi="Calibri" w:cs="Calibri"/>
          <w:noProof/>
        </w:rPr>
        <w:tab/>
      </w:r>
      <w:r w:rsidRPr="005B1D35">
        <w:rPr>
          <w:b/>
          <w:bCs/>
          <w:noProof/>
        </w:rPr>
        <w:t>Fogarasi, S.</w:t>
      </w:r>
      <w:r w:rsidRPr="005B1D35">
        <w:rPr>
          <w:noProof/>
        </w:rPr>
        <w:t xml:space="preserve">; Imre-Lucaci, F.; Dragan, S.; Imre-Lucaci, A. Evaluation of mass transfer parameters for urea dissolution in fixed-bed with downward flow of water. </w:t>
      </w:r>
      <w:r w:rsidRPr="005B1D35">
        <w:rPr>
          <w:i/>
          <w:noProof/>
        </w:rPr>
        <w:t xml:space="preserve">Studia Universitatis Babeș-Bolyai Chemia </w:t>
      </w:r>
      <w:r w:rsidRPr="005B1D35">
        <w:rPr>
          <w:b/>
          <w:noProof/>
        </w:rPr>
        <w:t>2016</w:t>
      </w:r>
      <w:r w:rsidRPr="005B1D35">
        <w:rPr>
          <w:noProof/>
        </w:rPr>
        <w:t xml:space="preserve">, </w:t>
      </w:r>
      <w:r w:rsidRPr="005B1D35">
        <w:rPr>
          <w:i/>
          <w:noProof/>
        </w:rPr>
        <w:t>LXI</w:t>
      </w:r>
      <w:r w:rsidRPr="005B1D35">
        <w:rPr>
          <w:noProof/>
        </w:rPr>
        <w:t>, 495-504.</w:t>
      </w:r>
      <w:bookmarkEnd w:id="1"/>
    </w:p>
    <w:p w14:paraId="7FF0AF0D" w14:textId="77777777" w:rsidR="005B1D35" w:rsidRPr="005B1D35" w:rsidRDefault="005B1D35" w:rsidP="005B1D35">
      <w:pPr>
        <w:ind w:left="720" w:hanging="720"/>
        <w:rPr>
          <w:noProof/>
        </w:rPr>
      </w:pPr>
      <w:bookmarkStart w:id="2" w:name="_ENREF_2"/>
      <w:r w:rsidRPr="005B1D35">
        <w:rPr>
          <w:noProof/>
        </w:rPr>
        <w:t>2.</w:t>
      </w:r>
      <w:r w:rsidRPr="005B1D35">
        <w:rPr>
          <w:noProof/>
        </w:rPr>
        <w:tab/>
      </w:r>
      <w:r w:rsidRPr="005B1D35">
        <w:rPr>
          <w:b/>
          <w:bCs/>
          <w:noProof/>
        </w:rPr>
        <w:t>Fogarasi, S.</w:t>
      </w:r>
      <w:r w:rsidRPr="005B1D35">
        <w:rPr>
          <w:noProof/>
        </w:rPr>
        <w:t xml:space="preserve">; Imre-Lucaci, F.; Ghirisan, A.; Mişca, B.R.H.; Imre-Lucaci, A. Removal of lead from industrial wastewater by electrocoagulation using sacrificial aluminium electrodes. </w:t>
      </w:r>
      <w:r w:rsidRPr="005B1D35">
        <w:rPr>
          <w:i/>
          <w:noProof/>
        </w:rPr>
        <w:t xml:space="preserve">Studia Universitatis Babeș-Bolyai Chemia </w:t>
      </w:r>
      <w:r w:rsidRPr="005B1D35">
        <w:rPr>
          <w:b/>
          <w:noProof/>
        </w:rPr>
        <w:t>2016</w:t>
      </w:r>
      <w:r w:rsidRPr="005B1D35">
        <w:rPr>
          <w:noProof/>
        </w:rPr>
        <w:t xml:space="preserve">, </w:t>
      </w:r>
      <w:r w:rsidRPr="005B1D35">
        <w:rPr>
          <w:i/>
          <w:noProof/>
        </w:rPr>
        <w:t>LXI</w:t>
      </w:r>
      <w:r w:rsidRPr="005B1D35">
        <w:rPr>
          <w:noProof/>
        </w:rPr>
        <w:t>, 145-154.</w:t>
      </w:r>
      <w:bookmarkEnd w:id="2"/>
    </w:p>
    <w:p w14:paraId="4F788E2B" w14:textId="77777777" w:rsidR="005B1D35" w:rsidRPr="005B1D35" w:rsidRDefault="005B1D35" w:rsidP="005B1D35">
      <w:pPr>
        <w:ind w:left="720" w:hanging="720"/>
        <w:rPr>
          <w:noProof/>
        </w:rPr>
      </w:pPr>
      <w:bookmarkStart w:id="3" w:name="_ENREF_3"/>
      <w:r w:rsidRPr="005B1D35">
        <w:rPr>
          <w:noProof/>
        </w:rPr>
        <w:t>3.</w:t>
      </w:r>
      <w:r w:rsidRPr="005B1D35">
        <w:rPr>
          <w:noProof/>
        </w:rPr>
        <w:tab/>
      </w:r>
      <w:r w:rsidRPr="005B1D35">
        <w:rPr>
          <w:b/>
          <w:bCs/>
          <w:noProof/>
        </w:rPr>
        <w:t>Fogarasi, S.</w:t>
      </w:r>
      <w:r w:rsidRPr="005B1D35">
        <w:rPr>
          <w:noProof/>
        </w:rPr>
        <w:t xml:space="preserve">; Nagy, M.; Imre-Lucaci, F.; Imre-Lucaci, A. Identification of mass transfer parameters for rock salt dissolution in a plug flow system. </w:t>
      </w:r>
      <w:r w:rsidRPr="005B1D35">
        <w:rPr>
          <w:i/>
          <w:noProof/>
        </w:rPr>
        <w:t xml:space="preserve">Studia Universitatis Babes-Bolyai Chemia </w:t>
      </w:r>
      <w:r w:rsidRPr="005B1D35">
        <w:rPr>
          <w:b/>
          <w:noProof/>
        </w:rPr>
        <w:t>2017</w:t>
      </w:r>
      <w:r w:rsidRPr="005B1D35">
        <w:rPr>
          <w:noProof/>
        </w:rPr>
        <w:t xml:space="preserve">, </w:t>
      </w:r>
      <w:r w:rsidRPr="005B1D35">
        <w:rPr>
          <w:i/>
          <w:noProof/>
        </w:rPr>
        <w:t>62</w:t>
      </w:r>
      <w:r w:rsidRPr="005B1D35">
        <w:rPr>
          <w:noProof/>
        </w:rPr>
        <w:t>, 175-182, doi:10.24193/subbchem.2017.1.15.</w:t>
      </w:r>
      <w:bookmarkEnd w:id="3"/>
    </w:p>
    <w:p w14:paraId="5EF2D89E" w14:textId="77777777" w:rsidR="005B1D35" w:rsidRPr="005B1D35" w:rsidRDefault="005B1D35" w:rsidP="005B1D35">
      <w:pPr>
        <w:ind w:left="720" w:hanging="720"/>
        <w:rPr>
          <w:noProof/>
        </w:rPr>
      </w:pPr>
      <w:bookmarkStart w:id="4" w:name="_ENREF_4"/>
      <w:r w:rsidRPr="005B1D35">
        <w:rPr>
          <w:noProof/>
        </w:rPr>
        <w:t>4.</w:t>
      </w:r>
      <w:r w:rsidRPr="005B1D35">
        <w:rPr>
          <w:noProof/>
        </w:rPr>
        <w:tab/>
        <w:t xml:space="preserve">Imre-Lucaci, Á.; Nagy, M.; Imre-Lucaci, F.; </w:t>
      </w:r>
      <w:r w:rsidRPr="005B1D35">
        <w:rPr>
          <w:b/>
          <w:bCs/>
          <w:noProof/>
        </w:rPr>
        <w:t>Fogarasi, S.</w:t>
      </w:r>
      <w:r w:rsidRPr="005B1D35">
        <w:rPr>
          <w:noProof/>
        </w:rPr>
        <w:t xml:space="preserve"> Technical and environmental assessment of gold recovery from secondary streams obtained in the processing of waste printed circuit boards. </w:t>
      </w:r>
      <w:r w:rsidRPr="005B1D35">
        <w:rPr>
          <w:i/>
          <w:noProof/>
        </w:rPr>
        <w:t xml:space="preserve">Chemical Engineering Journal </w:t>
      </w:r>
      <w:r w:rsidRPr="005B1D35">
        <w:rPr>
          <w:b/>
          <w:noProof/>
        </w:rPr>
        <w:t>2017</w:t>
      </w:r>
      <w:r w:rsidRPr="005B1D35">
        <w:rPr>
          <w:noProof/>
        </w:rPr>
        <w:t xml:space="preserve">, </w:t>
      </w:r>
      <w:r w:rsidRPr="005B1D35">
        <w:rPr>
          <w:i/>
          <w:noProof/>
        </w:rPr>
        <w:t>309</w:t>
      </w:r>
      <w:r w:rsidRPr="005B1D35">
        <w:rPr>
          <w:noProof/>
        </w:rPr>
        <w:t>, 655-662, doi:10.1016/j.cej.2016.10.045.</w:t>
      </w:r>
      <w:bookmarkEnd w:id="4"/>
    </w:p>
    <w:p w14:paraId="256D0CCD" w14:textId="77777777" w:rsidR="005B1D35" w:rsidRPr="005B1D35" w:rsidRDefault="005B1D35" w:rsidP="005B1D35">
      <w:pPr>
        <w:ind w:left="720" w:hanging="720"/>
        <w:rPr>
          <w:noProof/>
        </w:rPr>
      </w:pPr>
      <w:bookmarkStart w:id="5" w:name="_ENREF_5"/>
      <w:r w:rsidRPr="005B1D35">
        <w:rPr>
          <w:noProof/>
        </w:rPr>
        <w:t>5.</w:t>
      </w:r>
      <w:r w:rsidRPr="005B1D35">
        <w:rPr>
          <w:noProof/>
        </w:rPr>
        <w:tab/>
        <w:t xml:space="preserve">Fogarasi, M.; Socaci, S.A.; </w:t>
      </w:r>
      <w:r w:rsidRPr="005B1D35">
        <w:rPr>
          <w:b/>
          <w:bCs/>
          <w:noProof/>
        </w:rPr>
        <w:t>Fogarasi, S.;</w:t>
      </w:r>
      <w:r w:rsidRPr="005B1D35">
        <w:rPr>
          <w:noProof/>
        </w:rPr>
        <w:t xml:space="preserve"> Jimborean, M.; Pop, C.; Tofană, M.; Rotar, A.; Tibulca, D.; Salagean, D.; Salanta, L. Evaluation of biochemical and microbiological changes </w:t>
      </w:r>
      <w:r w:rsidRPr="005B1D35">
        <w:rPr>
          <w:noProof/>
        </w:rPr>
        <w:lastRenderedPageBreak/>
        <w:t xml:space="preserve">occurring in fresh cheese with essential oils during storage time. </w:t>
      </w:r>
      <w:r w:rsidRPr="005B1D35">
        <w:rPr>
          <w:i/>
          <w:noProof/>
        </w:rPr>
        <w:t xml:space="preserve">Studia Universitatis Babes-Bolyai Chemia </w:t>
      </w:r>
      <w:r w:rsidRPr="005B1D35">
        <w:rPr>
          <w:b/>
          <w:noProof/>
        </w:rPr>
        <w:t>2019</w:t>
      </w:r>
      <w:r w:rsidRPr="005B1D35">
        <w:rPr>
          <w:noProof/>
        </w:rPr>
        <w:t xml:space="preserve">, </w:t>
      </w:r>
      <w:r w:rsidRPr="005B1D35">
        <w:rPr>
          <w:i/>
          <w:noProof/>
        </w:rPr>
        <w:t>64</w:t>
      </w:r>
      <w:r w:rsidRPr="005B1D35">
        <w:rPr>
          <w:noProof/>
        </w:rPr>
        <w:t>, 527-537, doi:10.24193/subbchem.2019.2.45.</w:t>
      </w:r>
      <w:bookmarkEnd w:id="5"/>
    </w:p>
    <w:p w14:paraId="6390E16C" w14:textId="77777777" w:rsidR="005B1D35" w:rsidRPr="005B1D35" w:rsidRDefault="005B1D35" w:rsidP="005B1D35">
      <w:pPr>
        <w:ind w:left="720" w:hanging="720"/>
        <w:rPr>
          <w:noProof/>
        </w:rPr>
      </w:pPr>
      <w:bookmarkStart w:id="6" w:name="_ENREF_6"/>
      <w:r w:rsidRPr="005B1D35">
        <w:rPr>
          <w:noProof/>
        </w:rPr>
        <w:t>6.</w:t>
      </w:r>
      <w:r w:rsidRPr="005B1D35">
        <w:rPr>
          <w:noProof/>
        </w:rPr>
        <w:tab/>
      </w:r>
      <w:r w:rsidRPr="005B1D35">
        <w:rPr>
          <w:b/>
          <w:bCs/>
          <w:noProof/>
        </w:rPr>
        <w:t>Fogarasi, S.;</w:t>
      </w:r>
      <w:r w:rsidRPr="005B1D35">
        <w:rPr>
          <w:noProof/>
        </w:rPr>
        <w:t xml:space="preserve"> Imre-Lucaci, F.; Fogarasi, M.; Imre-Lucaci, A. Technical and environmental assessment of selective recovery of tin and lead from waste solder alloy using direct anodic oxidation. </w:t>
      </w:r>
      <w:r w:rsidRPr="005B1D35">
        <w:rPr>
          <w:i/>
          <w:noProof/>
        </w:rPr>
        <w:t xml:space="preserve">Journal of Cleaner Production </w:t>
      </w:r>
      <w:r w:rsidRPr="005B1D35">
        <w:rPr>
          <w:b/>
          <w:noProof/>
        </w:rPr>
        <w:t>2019</w:t>
      </w:r>
      <w:r w:rsidRPr="005B1D35">
        <w:rPr>
          <w:noProof/>
        </w:rPr>
        <w:t xml:space="preserve">, </w:t>
      </w:r>
      <w:r w:rsidRPr="005B1D35">
        <w:rPr>
          <w:i/>
          <w:noProof/>
        </w:rPr>
        <w:t>213</w:t>
      </w:r>
      <w:r w:rsidRPr="005B1D35">
        <w:rPr>
          <w:noProof/>
        </w:rPr>
        <w:t>, 872-883, doi:10.1016/j.jclepro.2018.12.101.</w:t>
      </w:r>
      <w:bookmarkEnd w:id="6"/>
    </w:p>
    <w:p w14:paraId="4824DAFA" w14:textId="77777777" w:rsidR="005B1D35" w:rsidRPr="005B1D35" w:rsidRDefault="005B1D35" w:rsidP="005B1D35">
      <w:pPr>
        <w:ind w:left="720" w:hanging="720"/>
        <w:rPr>
          <w:noProof/>
        </w:rPr>
      </w:pPr>
      <w:bookmarkStart w:id="7" w:name="_ENREF_7"/>
      <w:r w:rsidRPr="005B1D35">
        <w:rPr>
          <w:noProof/>
        </w:rPr>
        <w:t>7.</w:t>
      </w:r>
      <w:r w:rsidRPr="005B1D35">
        <w:rPr>
          <w:noProof/>
        </w:rPr>
        <w:tab/>
        <w:t xml:space="preserve">Fogarasi, M.; Diaconeasa, Z.M.; Pop, C.R.; </w:t>
      </w:r>
      <w:r w:rsidRPr="005B1D35">
        <w:rPr>
          <w:b/>
          <w:bCs/>
          <w:noProof/>
        </w:rPr>
        <w:t>Fogarasi, S.;</w:t>
      </w:r>
      <w:r w:rsidRPr="005B1D35">
        <w:rPr>
          <w:noProof/>
        </w:rPr>
        <w:t xml:space="preserve"> Semeniuc, C.A.; Fărcaş, A.C.; Țibulcă, D.; Sălăgean, C.-D.; Tofană, M.; Socaci, S.A. Elemental Composition, Antioxidant and Antibacterial Properties of Some Wild Edible Mushrooms from Romania. </w:t>
      </w:r>
      <w:r w:rsidRPr="005B1D35">
        <w:rPr>
          <w:i/>
          <w:noProof/>
        </w:rPr>
        <w:t xml:space="preserve">Agronomy </w:t>
      </w:r>
      <w:r w:rsidRPr="005B1D35">
        <w:rPr>
          <w:b/>
          <w:noProof/>
        </w:rPr>
        <w:t>2020</w:t>
      </w:r>
      <w:r w:rsidRPr="005B1D35">
        <w:rPr>
          <w:noProof/>
        </w:rPr>
        <w:t xml:space="preserve">, </w:t>
      </w:r>
      <w:r w:rsidRPr="005B1D35">
        <w:rPr>
          <w:i/>
          <w:noProof/>
        </w:rPr>
        <w:t>10</w:t>
      </w:r>
      <w:r w:rsidRPr="005B1D35">
        <w:rPr>
          <w:noProof/>
        </w:rPr>
        <w:t>, 1972, doi:10.3390/agronomy10121972.</w:t>
      </w:r>
      <w:bookmarkEnd w:id="7"/>
    </w:p>
    <w:p w14:paraId="48F1947E" w14:textId="77777777" w:rsidR="005B1D35" w:rsidRPr="005B1D35" w:rsidRDefault="005B1D35" w:rsidP="005B1D35">
      <w:pPr>
        <w:ind w:left="720" w:hanging="720"/>
        <w:rPr>
          <w:noProof/>
        </w:rPr>
      </w:pPr>
      <w:bookmarkStart w:id="8" w:name="_ENREF_8"/>
      <w:r w:rsidRPr="005B1D35">
        <w:rPr>
          <w:noProof/>
        </w:rPr>
        <w:t>8.</w:t>
      </w:r>
      <w:r w:rsidRPr="005B1D35">
        <w:rPr>
          <w:noProof/>
        </w:rPr>
        <w:tab/>
        <w:t xml:space="preserve">Tibulca, D.; Fogarasi, M.; Socaci, S.A.; </w:t>
      </w:r>
      <w:r w:rsidRPr="005B1D35">
        <w:rPr>
          <w:b/>
          <w:bCs/>
          <w:noProof/>
        </w:rPr>
        <w:t>Fogarasi, S.;</w:t>
      </w:r>
      <w:r w:rsidRPr="005B1D35">
        <w:rPr>
          <w:noProof/>
        </w:rPr>
        <w:t xml:space="preserve"> Pop, C.; Salagean, D.; Tofană, M.; Michiu, D. Effect of agaricus bisporus and origanum majorana l extract on the shelf-life and nutritional properties of pork liver pÂtÉ. </w:t>
      </w:r>
      <w:r w:rsidRPr="005B1D35">
        <w:rPr>
          <w:i/>
          <w:noProof/>
        </w:rPr>
        <w:t xml:space="preserve">Studia Universitatis Babes-Bolyai Chemia </w:t>
      </w:r>
      <w:r w:rsidRPr="005B1D35">
        <w:rPr>
          <w:b/>
          <w:noProof/>
        </w:rPr>
        <w:t>2020</w:t>
      </w:r>
      <w:r w:rsidRPr="005B1D35">
        <w:rPr>
          <w:noProof/>
        </w:rPr>
        <w:t xml:space="preserve">, </w:t>
      </w:r>
      <w:r w:rsidRPr="005B1D35">
        <w:rPr>
          <w:i/>
          <w:noProof/>
        </w:rPr>
        <w:t>65</w:t>
      </w:r>
      <w:r w:rsidRPr="005B1D35">
        <w:rPr>
          <w:noProof/>
        </w:rPr>
        <w:t>, 197-208, doi:10.24193/subbchem.2020.2.16.</w:t>
      </w:r>
      <w:bookmarkEnd w:id="8"/>
    </w:p>
    <w:p w14:paraId="76DA8049" w14:textId="77777777" w:rsidR="005B1D35" w:rsidRPr="005B1D35" w:rsidRDefault="005B1D35" w:rsidP="005B1D35">
      <w:pPr>
        <w:ind w:left="720" w:hanging="720"/>
        <w:rPr>
          <w:noProof/>
        </w:rPr>
      </w:pPr>
      <w:bookmarkStart w:id="9" w:name="_ENREF_9"/>
      <w:r w:rsidRPr="005B1D35">
        <w:rPr>
          <w:noProof/>
        </w:rPr>
        <w:t>9.</w:t>
      </w:r>
      <w:r w:rsidRPr="005B1D35">
        <w:rPr>
          <w:noProof/>
        </w:rPr>
        <w:tab/>
        <w:t xml:space="preserve">Bains, A.; Chawla, P.; Kaur, S.; Najda, A.; Fogarasi, M.; </w:t>
      </w:r>
      <w:r w:rsidRPr="005B1D35">
        <w:rPr>
          <w:b/>
          <w:bCs/>
          <w:noProof/>
        </w:rPr>
        <w:t>Fogarasi, S.</w:t>
      </w:r>
      <w:r w:rsidRPr="005B1D35">
        <w:rPr>
          <w:noProof/>
        </w:rPr>
        <w:t xml:space="preserve"> Bioactives from Mushroom: Health Attributes and Food Industry Applications. </w:t>
      </w:r>
      <w:r w:rsidRPr="005B1D35">
        <w:rPr>
          <w:i/>
          <w:noProof/>
        </w:rPr>
        <w:t xml:space="preserve">Materials </w:t>
      </w:r>
      <w:r w:rsidRPr="005B1D35">
        <w:rPr>
          <w:b/>
          <w:noProof/>
        </w:rPr>
        <w:t>2021</w:t>
      </w:r>
      <w:r w:rsidRPr="005B1D35">
        <w:rPr>
          <w:noProof/>
        </w:rPr>
        <w:t xml:space="preserve">, </w:t>
      </w:r>
      <w:r w:rsidRPr="005B1D35">
        <w:rPr>
          <w:i/>
          <w:noProof/>
        </w:rPr>
        <w:t>14</w:t>
      </w:r>
      <w:r w:rsidRPr="005B1D35">
        <w:rPr>
          <w:noProof/>
        </w:rPr>
        <w:t>, 7640, doi:10.3390/ma14247640.</w:t>
      </w:r>
      <w:bookmarkEnd w:id="9"/>
    </w:p>
    <w:p w14:paraId="37785A8B" w14:textId="77777777" w:rsidR="005B1D35" w:rsidRPr="005B1D35" w:rsidRDefault="005B1D35" w:rsidP="005B1D35">
      <w:pPr>
        <w:ind w:left="720" w:hanging="720"/>
        <w:rPr>
          <w:noProof/>
        </w:rPr>
      </w:pPr>
      <w:bookmarkStart w:id="10" w:name="_ENREF_10"/>
      <w:r w:rsidRPr="005B1D35">
        <w:rPr>
          <w:noProof/>
        </w:rPr>
        <w:t>10.</w:t>
      </w:r>
      <w:r w:rsidRPr="005B1D35">
        <w:rPr>
          <w:noProof/>
        </w:rPr>
        <w:tab/>
        <w:t xml:space="preserve">Fogarasi, M.; Socaciu, M.-I.; Sălăgean, C.-D.; Ranga, F.; Fărcaș, A.C.; Socaci, S.A.; Socaciu, C.; Țibulcă, D.; </w:t>
      </w:r>
      <w:r w:rsidRPr="005B1D35">
        <w:rPr>
          <w:b/>
          <w:bCs/>
          <w:noProof/>
        </w:rPr>
        <w:t>Fogarasi, S.;</w:t>
      </w:r>
      <w:r w:rsidRPr="005B1D35">
        <w:rPr>
          <w:noProof/>
        </w:rPr>
        <w:t xml:space="preserve"> Semeniuc, C.A. Comparison of Different Extraction Solvents for Characterization of Antioxidant Potential and Polyphenolic Composition in Boletus edulis and Cantharellus cibarius Mushrooms from Romania. </w:t>
      </w:r>
      <w:r w:rsidRPr="005B1D35">
        <w:rPr>
          <w:i/>
          <w:noProof/>
        </w:rPr>
        <w:t xml:space="preserve">Molecules </w:t>
      </w:r>
      <w:r w:rsidRPr="005B1D35">
        <w:rPr>
          <w:b/>
          <w:noProof/>
        </w:rPr>
        <w:t>2021</w:t>
      </w:r>
      <w:r w:rsidRPr="005B1D35">
        <w:rPr>
          <w:noProof/>
        </w:rPr>
        <w:t xml:space="preserve">, </w:t>
      </w:r>
      <w:r w:rsidRPr="005B1D35">
        <w:rPr>
          <w:i/>
          <w:noProof/>
        </w:rPr>
        <w:t>26</w:t>
      </w:r>
      <w:r w:rsidRPr="005B1D35">
        <w:rPr>
          <w:noProof/>
        </w:rPr>
        <w:t>, 7508, doi:10.3390/molecules26247508.</w:t>
      </w:r>
      <w:bookmarkEnd w:id="10"/>
    </w:p>
    <w:p w14:paraId="1F36613D" w14:textId="77777777" w:rsidR="005B1D35" w:rsidRPr="005B1D35" w:rsidRDefault="005B1D35" w:rsidP="005B1D35">
      <w:pPr>
        <w:ind w:left="720" w:hanging="720"/>
        <w:rPr>
          <w:noProof/>
        </w:rPr>
      </w:pPr>
      <w:bookmarkStart w:id="11" w:name="_ENREF_11"/>
      <w:r w:rsidRPr="005B1D35">
        <w:rPr>
          <w:noProof/>
        </w:rPr>
        <w:t>11.</w:t>
      </w:r>
      <w:r w:rsidRPr="005B1D35">
        <w:rPr>
          <w:noProof/>
        </w:rPr>
        <w:tab/>
        <w:t xml:space="preserve">Akhone, M.A.; Bains, A.; Tosif, M.M.; Chawla, P.; Fogarasi, M.; </w:t>
      </w:r>
      <w:r w:rsidRPr="005B1D35">
        <w:rPr>
          <w:b/>
          <w:bCs/>
          <w:noProof/>
        </w:rPr>
        <w:t>Fogarasi, S.</w:t>
      </w:r>
      <w:r w:rsidRPr="005B1D35">
        <w:rPr>
          <w:noProof/>
        </w:rPr>
        <w:t xml:space="preserve"> Apricot Kernel: Bioactivity, Characterization, Applications, and Health Attributes. </w:t>
      </w:r>
      <w:r w:rsidRPr="005B1D35">
        <w:rPr>
          <w:i/>
          <w:noProof/>
        </w:rPr>
        <w:t xml:space="preserve">Foods </w:t>
      </w:r>
      <w:r w:rsidRPr="005B1D35">
        <w:rPr>
          <w:b/>
          <w:noProof/>
        </w:rPr>
        <w:t>2022</w:t>
      </w:r>
      <w:r w:rsidRPr="005B1D35">
        <w:rPr>
          <w:noProof/>
        </w:rPr>
        <w:t xml:space="preserve">, </w:t>
      </w:r>
      <w:r w:rsidRPr="005B1D35">
        <w:rPr>
          <w:i/>
          <w:noProof/>
        </w:rPr>
        <w:t>11</w:t>
      </w:r>
      <w:r w:rsidRPr="005B1D35">
        <w:rPr>
          <w:noProof/>
        </w:rPr>
        <w:t>, doi:10.3390/foods11152184.</w:t>
      </w:r>
      <w:bookmarkEnd w:id="11"/>
    </w:p>
    <w:p w14:paraId="043D135E" w14:textId="77777777" w:rsidR="005B1D35" w:rsidRPr="005B1D35" w:rsidRDefault="005B1D35" w:rsidP="005B1D35">
      <w:pPr>
        <w:ind w:left="720" w:hanging="720"/>
        <w:rPr>
          <w:noProof/>
        </w:rPr>
      </w:pPr>
      <w:bookmarkStart w:id="12" w:name="_ENREF_12"/>
      <w:r w:rsidRPr="005B1D35">
        <w:rPr>
          <w:noProof/>
        </w:rPr>
        <w:t>12.</w:t>
      </w:r>
      <w:r w:rsidRPr="005B1D35">
        <w:rPr>
          <w:noProof/>
        </w:rPr>
        <w:tab/>
        <w:t xml:space="preserve">Chandak, A.; Dhull, S.B.; Chawla, P.; Fogarasi, M.; </w:t>
      </w:r>
      <w:r w:rsidRPr="005B1D35">
        <w:rPr>
          <w:b/>
          <w:bCs/>
          <w:noProof/>
        </w:rPr>
        <w:t>Fogarasi, S.</w:t>
      </w:r>
      <w:r w:rsidRPr="005B1D35">
        <w:rPr>
          <w:noProof/>
        </w:rPr>
        <w:t xml:space="preserve"> Effect of Single and Dual Modifications on Properties of Lotus Rhizome Starch Modified by Microwave and gamma-Irradiation: A Comparative Study. </w:t>
      </w:r>
      <w:r w:rsidRPr="005B1D35">
        <w:rPr>
          <w:i/>
          <w:noProof/>
        </w:rPr>
        <w:t xml:space="preserve">Foods </w:t>
      </w:r>
      <w:r w:rsidRPr="005B1D35">
        <w:rPr>
          <w:b/>
          <w:noProof/>
        </w:rPr>
        <w:t>2022</w:t>
      </w:r>
      <w:r w:rsidRPr="005B1D35">
        <w:rPr>
          <w:noProof/>
        </w:rPr>
        <w:t xml:space="preserve">, </w:t>
      </w:r>
      <w:r w:rsidRPr="005B1D35">
        <w:rPr>
          <w:i/>
          <w:noProof/>
        </w:rPr>
        <w:t>11</w:t>
      </w:r>
      <w:r w:rsidRPr="005B1D35">
        <w:rPr>
          <w:noProof/>
        </w:rPr>
        <w:t>, doi:10.3390/foods11192969.</w:t>
      </w:r>
      <w:bookmarkEnd w:id="12"/>
    </w:p>
    <w:p w14:paraId="361CA516" w14:textId="77777777" w:rsidR="005B1D35" w:rsidRPr="005B1D35" w:rsidRDefault="005B1D35" w:rsidP="005B1D35">
      <w:pPr>
        <w:ind w:left="720" w:hanging="720"/>
        <w:rPr>
          <w:noProof/>
        </w:rPr>
      </w:pPr>
      <w:bookmarkStart w:id="13" w:name="_ENREF_13"/>
      <w:r w:rsidRPr="005B1D35">
        <w:rPr>
          <w:noProof/>
        </w:rPr>
        <w:t>13.</w:t>
      </w:r>
      <w:r w:rsidRPr="005B1D35">
        <w:rPr>
          <w:noProof/>
        </w:rPr>
        <w:tab/>
        <w:t xml:space="preserve">Jayaprakash, G.; Bains, A.; Chawla, P.; Fogarasi, M.; </w:t>
      </w:r>
      <w:r w:rsidRPr="005B1D35">
        <w:rPr>
          <w:b/>
          <w:bCs/>
          <w:noProof/>
        </w:rPr>
        <w:t>Fogarasi, S.</w:t>
      </w:r>
      <w:r w:rsidRPr="005B1D35">
        <w:rPr>
          <w:noProof/>
        </w:rPr>
        <w:t xml:space="preserve"> A Narrative Review on Rice Proteins: Current Scenario and Food Industrial Application. </w:t>
      </w:r>
      <w:r w:rsidRPr="005B1D35">
        <w:rPr>
          <w:i/>
          <w:noProof/>
        </w:rPr>
        <w:t xml:space="preserve">Polymers (Basel) </w:t>
      </w:r>
      <w:r w:rsidRPr="005B1D35">
        <w:rPr>
          <w:b/>
          <w:noProof/>
        </w:rPr>
        <w:t>2022</w:t>
      </w:r>
      <w:r w:rsidRPr="005B1D35">
        <w:rPr>
          <w:noProof/>
        </w:rPr>
        <w:t xml:space="preserve">, </w:t>
      </w:r>
      <w:r w:rsidRPr="005B1D35">
        <w:rPr>
          <w:i/>
          <w:noProof/>
        </w:rPr>
        <w:t>14</w:t>
      </w:r>
      <w:r w:rsidRPr="005B1D35">
        <w:rPr>
          <w:noProof/>
        </w:rPr>
        <w:t>, doi:10.3390/polym14153003.</w:t>
      </w:r>
      <w:bookmarkEnd w:id="13"/>
    </w:p>
    <w:p w14:paraId="03F60FB8" w14:textId="7F0316A8" w:rsidR="005B1D35" w:rsidRPr="005B1D35" w:rsidRDefault="005B1D35" w:rsidP="005B1D35">
      <w:pPr>
        <w:ind w:left="720" w:hanging="720"/>
        <w:rPr>
          <w:noProof/>
        </w:rPr>
      </w:pPr>
      <w:bookmarkStart w:id="14" w:name="_ENREF_14"/>
      <w:r w:rsidRPr="005B1D35">
        <w:rPr>
          <w:noProof/>
        </w:rPr>
        <w:t>14.</w:t>
      </w:r>
      <w:r w:rsidRPr="005B1D35">
        <w:rPr>
          <w:noProof/>
        </w:rPr>
        <w:tab/>
        <w:t xml:space="preserve">Kumari, P.; Raju, D.V.S.; Prasad, K.V.; Saha, S.; Panwar, S.; Paul, S.; Banyal, N.; Bains, A.; Chawla, P.; Fogarasi, M.; </w:t>
      </w:r>
      <w:r w:rsidRPr="005B1D35">
        <w:rPr>
          <w:b/>
          <w:bCs/>
          <w:noProof/>
          <w:lang w:val="ro-RO"/>
        </w:rPr>
        <w:t>Fogarasi, S.</w:t>
      </w:r>
      <w:r w:rsidRPr="005B1D35">
        <w:rPr>
          <w:noProof/>
        </w:rPr>
        <w:t xml:space="preserve"> Characterization of Anthocyanins and Their Antioxidant Activities in Indian Rose Varieties (Rosa x hybrida) Using HPLC. </w:t>
      </w:r>
      <w:r w:rsidRPr="005B1D35">
        <w:rPr>
          <w:i/>
          <w:noProof/>
        </w:rPr>
        <w:t xml:space="preserve">Antioxidants </w:t>
      </w:r>
      <w:r w:rsidRPr="005B1D35">
        <w:rPr>
          <w:b/>
          <w:noProof/>
        </w:rPr>
        <w:t>2022</w:t>
      </w:r>
      <w:r w:rsidRPr="005B1D35">
        <w:rPr>
          <w:noProof/>
        </w:rPr>
        <w:t xml:space="preserve">, </w:t>
      </w:r>
      <w:r w:rsidRPr="005B1D35">
        <w:rPr>
          <w:i/>
          <w:noProof/>
        </w:rPr>
        <w:t>11</w:t>
      </w:r>
      <w:r w:rsidRPr="005B1D35">
        <w:rPr>
          <w:noProof/>
        </w:rPr>
        <w:t>, doi:10.3390/antiox11102032.</w:t>
      </w:r>
      <w:bookmarkEnd w:id="14"/>
    </w:p>
    <w:p w14:paraId="11C5A757" w14:textId="77777777" w:rsidR="005B1D35" w:rsidRPr="005B1D35" w:rsidRDefault="005B1D35" w:rsidP="005B1D35">
      <w:pPr>
        <w:ind w:left="720" w:hanging="720"/>
        <w:rPr>
          <w:noProof/>
        </w:rPr>
      </w:pPr>
      <w:bookmarkStart w:id="15" w:name="_ENREF_15"/>
      <w:r w:rsidRPr="005B1D35">
        <w:rPr>
          <w:noProof/>
        </w:rPr>
        <w:t>15.</w:t>
      </w:r>
      <w:r w:rsidRPr="005B1D35">
        <w:rPr>
          <w:noProof/>
        </w:rPr>
        <w:tab/>
        <w:t xml:space="preserve">Shashikant, M.; Bains, A.; Chawla, P.; Fogarasi, M.; </w:t>
      </w:r>
      <w:r w:rsidRPr="005B1D35">
        <w:rPr>
          <w:b/>
          <w:bCs/>
          <w:noProof/>
        </w:rPr>
        <w:t>Fogarasi, S.</w:t>
      </w:r>
      <w:r w:rsidRPr="005B1D35">
        <w:rPr>
          <w:noProof/>
        </w:rPr>
        <w:t xml:space="preserve"> The Current Status, Bioactivity, Food, and Pharmaceutical Approaches of Calocybe indica: A Review. </w:t>
      </w:r>
      <w:r w:rsidRPr="005B1D35">
        <w:rPr>
          <w:i/>
          <w:noProof/>
        </w:rPr>
        <w:t xml:space="preserve">Antioxidants </w:t>
      </w:r>
      <w:r w:rsidRPr="005B1D35">
        <w:rPr>
          <w:b/>
          <w:noProof/>
        </w:rPr>
        <w:t>2022</w:t>
      </w:r>
      <w:r w:rsidRPr="005B1D35">
        <w:rPr>
          <w:noProof/>
        </w:rPr>
        <w:t xml:space="preserve">, </w:t>
      </w:r>
      <w:r w:rsidRPr="005B1D35">
        <w:rPr>
          <w:i/>
          <w:noProof/>
        </w:rPr>
        <w:t>11</w:t>
      </w:r>
      <w:r w:rsidRPr="005B1D35">
        <w:rPr>
          <w:noProof/>
        </w:rPr>
        <w:t>, doi:10.3390/antiox11061145.</w:t>
      </w:r>
      <w:bookmarkEnd w:id="15"/>
    </w:p>
    <w:p w14:paraId="1F47513F" w14:textId="6714811F" w:rsidR="005B1D35" w:rsidRPr="005B1D35" w:rsidRDefault="005B1D35" w:rsidP="005B1D35">
      <w:pPr>
        <w:ind w:left="720" w:hanging="720"/>
        <w:rPr>
          <w:noProof/>
        </w:rPr>
      </w:pPr>
      <w:bookmarkStart w:id="16" w:name="_ENREF_16"/>
      <w:r w:rsidRPr="005B1D35">
        <w:rPr>
          <w:noProof/>
        </w:rPr>
        <w:t>16.</w:t>
      </w:r>
      <w:r w:rsidRPr="005B1D35">
        <w:rPr>
          <w:noProof/>
        </w:rPr>
        <w:tab/>
        <w:t xml:space="preserve">Thapa, A.; Kaushik, R.; Arora, S.; Jaglan, S.; Jaswal, V.; Yadav, V.K.; Singh, M.; Bains, A.; Chawla, P.; Khan, A.; Fogarasi, M.; </w:t>
      </w:r>
      <w:r w:rsidRPr="005B1D35">
        <w:rPr>
          <w:b/>
          <w:bCs/>
          <w:noProof/>
          <w:lang w:val="ro-RO"/>
        </w:rPr>
        <w:t>Fogarasi, S.</w:t>
      </w:r>
      <w:r>
        <w:rPr>
          <w:b/>
          <w:bCs/>
          <w:noProof/>
          <w:lang w:val="ro-RO"/>
        </w:rPr>
        <w:t xml:space="preserve"> </w:t>
      </w:r>
      <w:r w:rsidRPr="005B1D35">
        <w:rPr>
          <w:noProof/>
        </w:rPr>
        <w:t xml:space="preserve">Biological Activity of Picrorhiza kurroa: A Source of Potential Antimicrobial Compounds against Yersinia enterocolitica. </w:t>
      </w:r>
      <w:r w:rsidRPr="005B1D35">
        <w:rPr>
          <w:i/>
          <w:noProof/>
        </w:rPr>
        <w:t xml:space="preserve">International journal of molecular sciences </w:t>
      </w:r>
      <w:r w:rsidRPr="005B1D35">
        <w:rPr>
          <w:b/>
          <w:noProof/>
        </w:rPr>
        <w:t>2022</w:t>
      </w:r>
      <w:r w:rsidRPr="005B1D35">
        <w:rPr>
          <w:noProof/>
        </w:rPr>
        <w:t xml:space="preserve">, </w:t>
      </w:r>
      <w:r w:rsidRPr="005B1D35">
        <w:rPr>
          <w:i/>
          <w:noProof/>
        </w:rPr>
        <w:t>23</w:t>
      </w:r>
      <w:r w:rsidRPr="005B1D35">
        <w:rPr>
          <w:noProof/>
        </w:rPr>
        <w:t>, doi:10.3390/ijms232214090.</w:t>
      </w:r>
      <w:bookmarkStart w:id="17" w:name="_ENREF_17"/>
      <w:bookmarkEnd w:id="16"/>
    </w:p>
    <w:p w14:paraId="5087FF22" w14:textId="75F3A67F" w:rsidR="005B1D35" w:rsidRDefault="005B1D35" w:rsidP="005B1D35">
      <w:pPr>
        <w:ind w:left="720" w:hanging="720"/>
        <w:rPr>
          <w:rFonts w:ascii="Calibri" w:hAnsi="Calibri" w:cs="Calibri"/>
          <w:noProof/>
        </w:rPr>
      </w:pPr>
      <w:r w:rsidRPr="005B1D35">
        <w:rPr>
          <w:noProof/>
        </w:rPr>
        <w:t>17.</w:t>
      </w:r>
      <w:r w:rsidRPr="005B1D35">
        <w:rPr>
          <w:noProof/>
        </w:rPr>
        <w:tab/>
        <w:t xml:space="preserve">Fogarasi, M.; Urs, M.J.; Socaciu, M.I.; Ranga, F.; Semeniuc, C.A.; Vodnar, D.C.; Muresan, V.; Tibulca, D.; </w:t>
      </w:r>
      <w:r w:rsidRPr="005B1D35">
        <w:rPr>
          <w:b/>
          <w:bCs/>
          <w:noProof/>
        </w:rPr>
        <w:t>Fogarasi, S.;</w:t>
      </w:r>
      <w:r w:rsidRPr="005B1D35">
        <w:rPr>
          <w:noProof/>
        </w:rPr>
        <w:t xml:space="preserve"> Socaciu, C. Polyphenols-Enrichment of Vienna Sausages Using Microcapsules Containing Acidic Aqueous Extract of Boletus edulis Mushrooms. </w:t>
      </w:r>
      <w:r w:rsidRPr="005B1D35">
        <w:rPr>
          <w:i/>
          <w:noProof/>
        </w:rPr>
        <w:t xml:space="preserve">Foods </w:t>
      </w:r>
      <w:r w:rsidRPr="005B1D35">
        <w:rPr>
          <w:b/>
          <w:noProof/>
        </w:rPr>
        <w:t>2024</w:t>
      </w:r>
      <w:r w:rsidRPr="005B1D35">
        <w:rPr>
          <w:noProof/>
        </w:rPr>
        <w:t xml:space="preserve">, </w:t>
      </w:r>
      <w:r w:rsidRPr="005B1D35">
        <w:rPr>
          <w:i/>
          <w:noProof/>
        </w:rPr>
        <w:t>13</w:t>
      </w:r>
      <w:r w:rsidRPr="005B1D35">
        <w:rPr>
          <w:noProof/>
        </w:rPr>
        <w:t>, doi:10.3390/foods13070979.</w:t>
      </w:r>
      <w:bookmarkEnd w:id="17"/>
    </w:p>
    <w:p w14:paraId="1E67AFCF" w14:textId="77777777" w:rsidR="005B1D35" w:rsidRDefault="005B1D35" w:rsidP="005B1D35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</w:p>
    <w:p w14:paraId="5B233D0A" w14:textId="77777777" w:rsidR="005B1D35" w:rsidRDefault="005B1D35" w:rsidP="005B1D35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</w:p>
    <w:p w14:paraId="25E611A4" w14:textId="77777777" w:rsidR="005B1D35" w:rsidRPr="00424B19" w:rsidRDefault="005B1D35" w:rsidP="005B1D35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</w:p>
    <w:p w14:paraId="5766AB85" w14:textId="77777777" w:rsidR="00E36DA8" w:rsidRPr="00424B19" w:rsidRDefault="00E36DA8" w:rsidP="00E36DA8">
      <w:pPr>
        <w:numPr>
          <w:ilvl w:val="0"/>
          <w:numId w:val="9"/>
        </w:numPr>
        <w:tabs>
          <w:tab w:val="left" w:pos="142"/>
          <w:tab w:val="left" w:pos="399"/>
        </w:tabs>
        <w:spacing w:line="320" w:lineRule="atLeast"/>
        <w:ind w:left="0" w:firstLine="0"/>
        <w:jc w:val="both"/>
        <w:rPr>
          <w:b/>
          <w:lang w:val="ro-RO"/>
        </w:rPr>
      </w:pPr>
      <w:r w:rsidRPr="00424B19">
        <w:rPr>
          <w:b/>
          <w:lang w:val="ro-RO"/>
        </w:rPr>
        <w:t>Lucrări publicate în</w:t>
      </w:r>
      <w:r>
        <w:rPr>
          <w:b/>
          <w:lang w:val="ro-RO"/>
        </w:rPr>
        <w:t xml:space="preserve"> ultimii 10</w:t>
      </w:r>
      <w:r w:rsidRPr="00424B19">
        <w:rPr>
          <w:b/>
          <w:lang w:val="ro-RO"/>
        </w:rPr>
        <w:t xml:space="preserve"> anii în reviste şi  volume de conferinţe cu referenţi </w:t>
      </w:r>
    </w:p>
    <w:p w14:paraId="55305392" w14:textId="479BCBD4" w:rsidR="00E36DA8" w:rsidRPr="00424B19" w:rsidRDefault="00E36DA8" w:rsidP="00D81778">
      <w:pPr>
        <w:tabs>
          <w:tab w:val="left" w:pos="142"/>
        </w:tabs>
        <w:spacing w:line="320" w:lineRule="atLeast"/>
        <w:jc w:val="both"/>
        <w:rPr>
          <w:b/>
          <w:lang w:val="ro-RO"/>
        </w:rPr>
      </w:pPr>
    </w:p>
    <w:p w14:paraId="3B6AC084" w14:textId="1F062952" w:rsidR="00E36DA8" w:rsidRDefault="00E36DA8" w:rsidP="00934BE1">
      <w:pPr>
        <w:spacing w:line="320" w:lineRule="atLeast"/>
        <w:jc w:val="both"/>
        <w:rPr>
          <w:lang w:val="ro-RO"/>
        </w:rPr>
      </w:pPr>
    </w:p>
    <w:p w14:paraId="04DB5627" w14:textId="77777777" w:rsidR="00E36DA8" w:rsidRPr="00424B19" w:rsidRDefault="00E36DA8" w:rsidP="00E36DA8">
      <w:pPr>
        <w:numPr>
          <w:ilvl w:val="1"/>
          <w:numId w:val="10"/>
        </w:numPr>
        <w:tabs>
          <w:tab w:val="clear" w:pos="1440"/>
        </w:tabs>
        <w:spacing w:line="320" w:lineRule="atLeast"/>
        <w:ind w:left="540" w:hanging="540"/>
        <w:jc w:val="both"/>
        <w:rPr>
          <w:b/>
          <w:lang w:val="ro-RO"/>
        </w:rPr>
      </w:pPr>
      <w:r w:rsidRPr="00424B19">
        <w:rPr>
          <w:b/>
          <w:lang w:val="ro-RO"/>
        </w:rPr>
        <w:t>Brevete obţinute în întreaga activitate</w:t>
      </w:r>
    </w:p>
    <w:p w14:paraId="6D84DAA6" w14:textId="7A458ED3" w:rsidR="00E36DA8" w:rsidRPr="00424B19" w:rsidRDefault="00087CB6" w:rsidP="00934BE1">
      <w:pPr>
        <w:widowControl w:val="0"/>
        <w:autoSpaceDE w:val="0"/>
        <w:autoSpaceDN w:val="0"/>
        <w:spacing w:line="320" w:lineRule="atLeast"/>
        <w:rPr>
          <w:bCs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388C34" wp14:editId="59E5CEE5">
            <wp:simplePos x="0" y="0"/>
            <wp:positionH relativeFrom="column">
              <wp:posOffset>4750435</wp:posOffset>
            </wp:positionH>
            <wp:positionV relativeFrom="paragraph">
              <wp:posOffset>35560</wp:posOffset>
            </wp:positionV>
            <wp:extent cx="273050" cy="711200"/>
            <wp:effectExtent l="0" t="0" r="0" b="0"/>
            <wp:wrapNone/>
            <wp:docPr id="22" name="Picture 4" descr="Scan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4" descr="Scan000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58" t="59984" r="49033" b="25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3B40F" w14:textId="77777777" w:rsidR="00E36DA8" w:rsidRPr="00424B19" w:rsidRDefault="00E36DA8" w:rsidP="00934BE1">
      <w:pPr>
        <w:widowControl w:val="0"/>
        <w:autoSpaceDE w:val="0"/>
        <w:autoSpaceDN w:val="0"/>
        <w:spacing w:line="320" w:lineRule="atLeast"/>
        <w:rPr>
          <w:lang w:val="ro-RO"/>
        </w:rPr>
      </w:pPr>
    </w:p>
    <w:p w14:paraId="6E7F72B9" w14:textId="07E0E60A" w:rsidR="00E36DA8" w:rsidRDefault="00E36DA8" w:rsidP="00934BE1">
      <w:pPr>
        <w:tabs>
          <w:tab w:val="left" w:pos="142"/>
        </w:tabs>
        <w:spacing w:line="320" w:lineRule="atLeast"/>
        <w:jc w:val="both"/>
        <w:rPr>
          <w:b/>
          <w:noProof/>
          <w:spacing w:val="-2"/>
          <w:lang w:val="ro-RO"/>
        </w:rPr>
      </w:pPr>
      <w:r w:rsidRPr="00424B19">
        <w:rPr>
          <w:b/>
          <w:noProof/>
          <w:spacing w:val="-2"/>
          <w:lang w:val="ro-RO"/>
        </w:rPr>
        <w:t>Data:</w:t>
      </w:r>
      <w:r w:rsidR="00781E95">
        <w:rPr>
          <w:b/>
          <w:noProof/>
          <w:spacing w:val="-2"/>
          <w:lang w:val="ro-RO"/>
        </w:rPr>
        <w:t xml:space="preserve"> </w:t>
      </w:r>
      <w:r w:rsidR="00EC6593">
        <w:rPr>
          <w:b/>
          <w:noProof/>
          <w:spacing w:val="-2"/>
          <w:lang w:val="ro-RO"/>
        </w:rPr>
        <w:t>0</w:t>
      </w:r>
      <w:r w:rsidR="00DA57B6">
        <w:rPr>
          <w:b/>
          <w:noProof/>
          <w:spacing w:val="-2"/>
          <w:lang w:val="ro-RO"/>
        </w:rPr>
        <w:t>1</w:t>
      </w:r>
      <w:r w:rsidR="00781E95">
        <w:rPr>
          <w:b/>
          <w:noProof/>
          <w:spacing w:val="-2"/>
          <w:lang w:val="ro-RO"/>
        </w:rPr>
        <w:t>.</w:t>
      </w:r>
      <w:r w:rsidR="00EC6593">
        <w:rPr>
          <w:b/>
          <w:noProof/>
          <w:spacing w:val="-2"/>
          <w:lang w:val="ro-RO"/>
        </w:rPr>
        <w:t>07</w:t>
      </w:r>
      <w:r w:rsidR="00781E95">
        <w:rPr>
          <w:b/>
          <w:noProof/>
          <w:spacing w:val="-2"/>
          <w:lang w:val="ro-RO"/>
        </w:rPr>
        <w:t>.202</w:t>
      </w:r>
      <w:r w:rsidR="00EC6593">
        <w:rPr>
          <w:b/>
          <w:noProof/>
          <w:spacing w:val="-2"/>
          <w:lang w:val="ro-RO"/>
        </w:rPr>
        <w:t>5</w:t>
      </w:r>
      <w:r w:rsidRPr="00424B19">
        <w:rPr>
          <w:b/>
          <w:noProof/>
          <w:spacing w:val="-2"/>
          <w:lang w:val="ro-RO"/>
        </w:rPr>
        <w:tab/>
      </w:r>
      <w:r w:rsidRPr="00424B19">
        <w:rPr>
          <w:b/>
          <w:noProof/>
          <w:spacing w:val="-2"/>
          <w:lang w:val="ro-RO"/>
        </w:rPr>
        <w:tab/>
      </w:r>
      <w:r w:rsidRPr="00424B19">
        <w:rPr>
          <w:b/>
          <w:noProof/>
          <w:spacing w:val="-2"/>
          <w:lang w:val="ro-RO"/>
        </w:rPr>
        <w:tab/>
      </w:r>
      <w:r w:rsidR="00781E95">
        <w:rPr>
          <w:b/>
          <w:noProof/>
          <w:spacing w:val="-2"/>
          <w:lang w:val="ro-RO"/>
        </w:rPr>
        <w:tab/>
      </w:r>
      <w:r w:rsidR="00781E95">
        <w:rPr>
          <w:b/>
          <w:noProof/>
          <w:spacing w:val="-2"/>
          <w:lang w:val="ro-RO"/>
        </w:rPr>
        <w:tab/>
      </w:r>
      <w:r w:rsidR="00781E95">
        <w:rPr>
          <w:b/>
          <w:noProof/>
          <w:spacing w:val="-2"/>
          <w:lang w:val="ro-RO"/>
        </w:rPr>
        <w:tab/>
      </w:r>
      <w:r w:rsidR="00781E95">
        <w:rPr>
          <w:b/>
          <w:noProof/>
          <w:spacing w:val="-2"/>
          <w:lang w:val="ro-RO"/>
        </w:rPr>
        <w:tab/>
      </w:r>
      <w:r w:rsidRPr="00424B19">
        <w:rPr>
          <w:b/>
          <w:noProof/>
          <w:spacing w:val="-2"/>
          <w:lang w:val="ro-RO"/>
        </w:rPr>
        <w:tab/>
        <w:t>Semnătura:</w:t>
      </w:r>
    </w:p>
    <w:p w14:paraId="2A6103CB" w14:textId="3FC817CB" w:rsidR="00313D0F" w:rsidRPr="00313D0F" w:rsidRDefault="00EC6593" w:rsidP="0004731F">
      <w:pPr>
        <w:tabs>
          <w:tab w:val="left" w:pos="142"/>
        </w:tabs>
        <w:spacing w:line="320" w:lineRule="atLeast"/>
        <w:jc w:val="right"/>
        <w:rPr>
          <w:sz w:val="18"/>
          <w:szCs w:val="18"/>
          <w:lang w:val="ro-RO"/>
        </w:rPr>
      </w:pPr>
      <w:r>
        <w:rPr>
          <w:noProof/>
        </w:rPr>
        <w:t xml:space="preserve"> </w:t>
      </w:r>
    </w:p>
    <w:p w14:paraId="66DB3B77" w14:textId="77777777" w:rsidR="00273853" w:rsidRPr="00313D0F" w:rsidRDefault="00313D0F" w:rsidP="00313D0F">
      <w:pPr>
        <w:ind w:left="360"/>
        <w:rPr>
          <w:sz w:val="18"/>
          <w:szCs w:val="18"/>
          <w:lang w:val="ro-RO"/>
        </w:rPr>
      </w:pPr>
      <w:r w:rsidRPr="00313D0F">
        <w:rPr>
          <w:sz w:val="18"/>
          <w:szCs w:val="18"/>
          <w:lang w:val="ro-RO"/>
        </w:rPr>
        <w:t>E – Brevete (pentru întreaga activitate)</w:t>
      </w:r>
    </w:p>
    <w:sectPr w:rsidR="00273853" w:rsidRPr="00313D0F" w:rsidSect="00E36D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964" w:bottom="172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B27D0" w14:textId="77777777" w:rsidR="000E6AEC" w:rsidRDefault="000E6AEC">
      <w:r>
        <w:separator/>
      </w:r>
    </w:p>
  </w:endnote>
  <w:endnote w:type="continuationSeparator" w:id="0">
    <w:p w14:paraId="04D68DCE" w14:textId="77777777" w:rsidR="000E6AEC" w:rsidRDefault="000E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1F677" w14:textId="77777777" w:rsidR="00263052" w:rsidRDefault="002630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EB44E" w14:textId="77777777" w:rsidR="00263052" w:rsidRDefault="002630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6F086" w14:textId="77777777" w:rsidR="00263052" w:rsidRDefault="00263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5FE2F" w14:textId="77777777" w:rsidR="000E6AEC" w:rsidRDefault="000E6AEC">
      <w:r>
        <w:separator/>
      </w:r>
    </w:p>
  </w:footnote>
  <w:footnote w:type="continuationSeparator" w:id="0">
    <w:p w14:paraId="18E6757F" w14:textId="77777777" w:rsidR="000E6AEC" w:rsidRDefault="000E6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6F9A5" w14:textId="77777777" w:rsidR="00263052" w:rsidRDefault="002630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5447D" w14:textId="46E9F02A" w:rsidR="00734AD4" w:rsidRPr="00263052" w:rsidRDefault="00D01F31" w:rsidP="00263052">
    <w:pPr>
      <w:pStyle w:val="Header"/>
      <w:pBdr>
        <w:bottom w:val="single" w:sz="4" w:space="1" w:color="9CC2E5"/>
      </w:pBdr>
      <w:ind w:right="-1" w:firstLine="720"/>
      <w:rPr>
        <w:bCs/>
        <w:i/>
        <w:iCs/>
        <w:color w:val="002060"/>
      </w:rPr>
    </w:pPr>
    <w:r>
      <w:rPr>
        <w:noProof/>
      </w:rPr>
      <w:drawing>
        <wp:anchor distT="0" distB="156845" distL="126492" distR="271399" simplePos="0" relativeHeight="251657728" behindDoc="0" locked="0" layoutInCell="1" allowOverlap="1" wp14:anchorId="169EC706" wp14:editId="2381D58B">
          <wp:simplePos x="0" y="0"/>
          <wp:positionH relativeFrom="column">
            <wp:posOffset>-4445</wp:posOffset>
          </wp:positionH>
          <wp:positionV relativeFrom="paragraph">
            <wp:posOffset>-181610</wp:posOffset>
          </wp:positionV>
          <wp:extent cx="539750" cy="539750"/>
          <wp:effectExtent l="0" t="0" r="0" b="0"/>
          <wp:wrapSquare wrapText="bothSides"/>
          <wp:docPr id="1" name="Imagine 5" descr="C:\Users\emilia.gogu\Pictures\aracis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5" descr="C:\Users\emilia.gogu\Pictures\aracis.jpg"/>
                  <pic:cNvPicPr>
                    <a:picLocks noChangeArrowheads="1"/>
                  </pic:cNvPicPr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052">
      <w:rPr>
        <w:bCs/>
        <w:color w:val="002060"/>
      </w:rPr>
      <w:t xml:space="preserve">    </w:t>
    </w:r>
    <w:proofErr w:type="spellStart"/>
    <w:r w:rsidR="00734AD4" w:rsidRPr="00113A16">
      <w:rPr>
        <w:bCs/>
        <w:color w:val="002060"/>
      </w:rPr>
      <w:t>Agenţia</w:t>
    </w:r>
    <w:proofErr w:type="spellEnd"/>
    <w:r w:rsidR="00734AD4" w:rsidRPr="00113A16">
      <w:rPr>
        <w:bCs/>
        <w:color w:val="002060"/>
      </w:rPr>
      <w:t xml:space="preserve"> </w:t>
    </w:r>
    <w:proofErr w:type="spellStart"/>
    <w:r w:rsidR="00734AD4" w:rsidRPr="00113A16">
      <w:rPr>
        <w:bCs/>
        <w:color w:val="002060"/>
      </w:rPr>
      <w:t>Română</w:t>
    </w:r>
    <w:proofErr w:type="spellEnd"/>
    <w:r w:rsidR="00734AD4" w:rsidRPr="00113A16">
      <w:rPr>
        <w:bCs/>
        <w:color w:val="002060"/>
      </w:rPr>
      <w:t xml:space="preserve"> de </w:t>
    </w:r>
    <w:proofErr w:type="spellStart"/>
    <w:r w:rsidR="00734AD4" w:rsidRPr="00113A16">
      <w:rPr>
        <w:bCs/>
        <w:color w:val="002060"/>
      </w:rPr>
      <w:t>Asigurare</w:t>
    </w:r>
    <w:proofErr w:type="spellEnd"/>
    <w:r w:rsidR="00734AD4" w:rsidRPr="00113A16">
      <w:rPr>
        <w:bCs/>
        <w:color w:val="002060"/>
      </w:rPr>
      <w:t xml:space="preserve"> a </w:t>
    </w:r>
    <w:proofErr w:type="spellStart"/>
    <w:r w:rsidR="00734AD4" w:rsidRPr="00113A16">
      <w:rPr>
        <w:bCs/>
        <w:color w:val="002060"/>
      </w:rPr>
      <w:t>Calităţii</w:t>
    </w:r>
    <w:proofErr w:type="spellEnd"/>
    <w:r w:rsidR="00734AD4" w:rsidRPr="00113A16">
      <w:rPr>
        <w:bCs/>
        <w:color w:val="002060"/>
      </w:rPr>
      <w:t xml:space="preserve"> </w:t>
    </w:r>
    <w:proofErr w:type="spellStart"/>
    <w:r w:rsidR="00734AD4" w:rsidRPr="00113A16">
      <w:rPr>
        <w:bCs/>
        <w:color w:val="002060"/>
      </w:rPr>
      <w:t>în</w:t>
    </w:r>
    <w:proofErr w:type="spellEnd"/>
    <w:r w:rsidR="00734AD4" w:rsidRPr="00113A16">
      <w:rPr>
        <w:bCs/>
        <w:color w:val="002060"/>
      </w:rPr>
      <w:t xml:space="preserve"> </w:t>
    </w:r>
    <w:proofErr w:type="spellStart"/>
    <w:r w:rsidR="00734AD4" w:rsidRPr="00113A16">
      <w:rPr>
        <w:bCs/>
        <w:color w:val="002060"/>
      </w:rPr>
      <w:t>Învăţământul</w:t>
    </w:r>
    <w:proofErr w:type="spellEnd"/>
    <w:r w:rsidR="00734AD4" w:rsidRPr="00113A16">
      <w:rPr>
        <w:bCs/>
        <w:color w:val="002060"/>
      </w:rPr>
      <w:t xml:space="preserve"> Superior </w:t>
    </w:r>
    <w:r w:rsidR="00734AD4" w:rsidRPr="00113A16">
      <w:rPr>
        <w:bCs/>
        <w:color w:val="002060"/>
      </w:rPr>
      <w:tab/>
    </w:r>
    <w:r w:rsidR="00263052">
      <w:rPr>
        <w:bCs/>
        <w:color w:val="002060"/>
      </w:rPr>
      <w:tab/>
    </w:r>
    <w:r w:rsidR="00263052">
      <w:rPr>
        <w:bCs/>
        <w:color w:val="002060"/>
      </w:rPr>
      <w:tab/>
    </w:r>
    <w:r w:rsidR="00734AD4" w:rsidRPr="0090214B">
      <w:rPr>
        <w:b/>
        <w:color w:val="002060"/>
      </w:rPr>
      <w:tab/>
    </w:r>
    <w:r w:rsidR="00734AD4">
      <w:rPr>
        <w:b/>
        <w:color w:val="002060"/>
      </w:rPr>
      <w:t xml:space="preserve">                   </w:t>
    </w:r>
    <w:r w:rsidR="00734AD4" w:rsidRPr="0090214B">
      <w:rPr>
        <w:b/>
        <w:color w:val="002060"/>
      </w:rPr>
      <w:tab/>
    </w:r>
    <w:r w:rsidR="00734AD4" w:rsidRPr="0090214B">
      <w:rPr>
        <w:b/>
        <w:color w:val="002060"/>
      </w:rPr>
      <w:tab/>
      <w:t xml:space="preserve">   </w:t>
    </w:r>
    <w:proofErr w:type="spellStart"/>
    <w:r w:rsidR="00734AD4" w:rsidRPr="00263052">
      <w:rPr>
        <w:bCs/>
        <w:color w:val="002060"/>
      </w:rPr>
      <w:t>Anexa</w:t>
    </w:r>
    <w:proofErr w:type="spellEnd"/>
    <w:r w:rsidR="00734AD4" w:rsidRPr="00263052">
      <w:rPr>
        <w:bCs/>
        <w:color w:val="002060"/>
      </w:rPr>
      <w:t xml:space="preserve"> 4 </w:t>
    </w:r>
    <w:r w:rsidR="00263052" w:rsidRPr="00263052">
      <w:rPr>
        <w:bCs/>
        <w:color w:val="002060"/>
      </w:rPr>
      <w:t>FV</w:t>
    </w:r>
    <w:r w:rsidR="00734AD4" w:rsidRPr="00263052">
      <w:rPr>
        <w:bCs/>
        <w:i/>
        <w:iCs/>
        <w:color w:val="002060"/>
      </w:rPr>
      <w:t xml:space="preserve">     </w:t>
    </w:r>
  </w:p>
  <w:p w14:paraId="45215C35" w14:textId="77777777" w:rsidR="00FC43E6" w:rsidRPr="00E95D12" w:rsidRDefault="00FC43E6">
    <w:pPr>
      <w:pStyle w:val="Header"/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1693" w14:textId="77777777" w:rsidR="00263052" w:rsidRDefault="00263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31A0"/>
    <w:multiLevelType w:val="hybridMultilevel"/>
    <w:tmpl w:val="34CA8E46"/>
    <w:lvl w:ilvl="0" w:tplc="4A261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C8297A6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17E0D"/>
    <w:multiLevelType w:val="hybridMultilevel"/>
    <w:tmpl w:val="3A60D4FA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2FAF"/>
    <w:multiLevelType w:val="hybridMultilevel"/>
    <w:tmpl w:val="F2AA0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1A5B"/>
    <w:multiLevelType w:val="hybridMultilevel"/>
    <w:tmpl w:val="923C8BF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00F75"/>
    <w:multiLevelType w:val="hybridMultilevel"/>
    <w:tmpl w:val="64D2546E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60055"/>
    <w:multiLevelType w:val="hybridMultilevel"/>
    <w:tmpl w:val="F93282E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378F2943"/>
    <w:multiLevelType w:val="hybridMultilevel"/>
    <w:tmpl w:val="6304F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63515"/>
    <w:multiLevelType w:val="hybridMultilevel"/>
    <w:tmpl w:val="EB966CAC"/>
    <w:lvl w:ilvl="0" w:tplc="0409000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90F40"/>
    <w:multiLevelType w:val="hybridMultilevel"/>
    <w:tmpl w:val="CA1082C2"/>
    <w:lvl w:ilvl="0" w:tplc="0AE8C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C2117"/>
    <w:multiLevelType w:val="hybridMultilevel"/>
    <w:tmpl w:val="60C03B96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D1321"/>
    <w:multiLevelType w:val="hybridMultilevel"/>
    <w:tmpl w:val="284668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34685488">
    <w:abstractNumId w:val="8"/>
  </w:num>
  <w:num w:numId="2" w16cid:durableId="1187332586">
    <w:abstractNumId w:val="9"/>
  </w:num>
  <w:num w:numId="3" w16cid:durableId="2041734192">
    <w:abstractNumId w:val="4"/>
  </w:num>
  <w:num w:numId="4" w16cid:durableId="1168787375">
    <w:abstractNumId w:val="1"/>
  </w:num>
  <w:num w:numId="5" w16cid:durableId="1039819467">
    <w:abstractNumId w:val="10"/>
  </w:num>
  <w:num w:numId="6" w16cid:durableId="1568958657">
    <w:abstractNumId w:val="3"/>
  </w:num>
  <w:num w:numId="7" w16cid:durableId="151410611">
    <w:abstractNumId w:val="5"/>
  </w:num>
  <w:num w:numId="8" w16cid:durableId="12039797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2655381">
    <w:abstractNumId w:val="7"/>
  </w:num>
  <w:num w:numId="10" w16cid:durableId="1984652196">
    <w:abstractNumId w:val="0"/>
  </w:num>
  <w:num w:numId="11" w16cid:durableId="1378436078">
    <w:abstractNumId w:val="6"/>
  </w:num>
  <w:num w:numId="12" w16cid:durableId="1031027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BE"/>
    <w:rsid w:val="000201C8"/>
    <w:rsid w:val="0004128B"/>
    <w:rsid w:val="00043222"/>
    <w:rsid w:val="0004731F"/>
    <w:rsid w:val="00070649"/>
    <w:rsid w:val="00077B86"/>
    <w:rsid w:val="00087CB6"/>
    <w:rsid w:val="00092453"/>
    <w:rsid w:val="000935FD"/>
    <w:rsid w:val="000D38EC"/>
    <w:rsid w:val="000D4902"/>
    <w:rsid w:val="000E6AEC"/>
    <w:rsid w:val="000F1144"/>
    <w:rsid w:val="001157C6"/>
    <w:rsid w:val="00120A9C"/>
    <w:rsid w:val="001526B3"/>
    <w:rsid w:val="00183D7D"/>
    <w:rsid w:val="001A2538"/>
    <w:rsid w:val="001A54C1"/>
    <w:rsid w:val="001B042E"/>
    <w:rsid w:val="001B288F"/>
    <w:rsid w:val="0020525D"/>
    <w:rsid w:val="0021264C"/>
    <w:rsid w:val="00227799"/>
    <w:rsid w:val="00232D3E"/>
    <w:rsid w:val="002334DD"/>
    <w:rsid w:val="00263052"/>
    <w:rsid w:val="00265079"/>
    <w:rsid w:val="00273853"/>
    <w:rsid w:val="002813E8"/>
    <w:rsid w:val="00294E2E"/>
    <w:rsid w:val="002B37EB"/>
    <w:rsid w:val="002B3BE7"/>
    <w:rsid w:val="002E3D0C"/>
    <w:rsid w:val="00307F0F"/>
    <w:rsid w:val="00313D0F"/>
    <w:rsid w:val="00322AD0"/>
    <w:rsid w:val="003378C5"/>
    <w:rsid w:val="00340C94"/>
    <w:rsid w:val="00346D8C"/>
    <w:rsid w:val="003477B1"/>
    <w:rsid w:val="003908E9"/>
    <w:rsid w:val="003C3718"/>
    <w:rsid w:val="00454CA5"/>
    <w:rsid w:val="004560CF"/>
    <w:rsid w:val="00462F17"/>
    <w:rsid w:val="004714F1"/>
    <w:rsid w:val="00495942"/>
    <w:rsid w:val="004B4686"/>
    <w:rsid w:val="004D7B1F"/>
    <w:rsid w:val="004E4F5E"/>
    <w:rsid w:val="004F3408"/>
    <w:rsid w:val="00501A6F"/>
    <w:rsid w:val="00510F8F"/>
    <w:rsid w:val="0051426A"/>
    <w:rsid w:val="00541FA8"/>
    <w:rsid w:val="0056213A"/>
    <w:rsid w:val="00577807"/>
    <w:rsid w:val="00582BBC"/>
    <w:rsid w:val="00587AC4"/>
    <w:rsid w:val="005937C9"/>
    <w:rsid w:val="005B1D35"/>
    <w:rsid w:val="005B655E"/>
    <w:rsid w:val="005B6EC5"/>
    <w:rsid w:val="005F4E12"/>
    <w:rsid w:val="00654419"/>
    <w:rsid w:val="00662AF5"/>
    <w:rsid w:val="00663A89"/>
    <w:rsid w:val="00670C58"/>
    <w:rsid w:val="006846E2"/>
    <w:rsid w:val="006D0455"/>
    <w:rsid w:val="006D2E81"/>
    <w:rsid w:val="006D46CD"/>
    <w:rsid w:val="00734AD4"/>
    <w:rsid w:val="00781E95"/>
    <w:rsid w:val="0078255F"/>
    <w:rsid w:val="007C758D"/>
    <w:rsid w:val="007E05BE"/>
    <w:rsid w:val="007F6950"/>
    <w:rsid w:val="00802369"/>
    <w:rsid w:val="008252F4"/>
    <w:rsid w:val="0083575A"/>
    <w:rsid w:val="008455D8"/>
    <w:rsid w:val="00876026"/>
    <w:rsid w:val="008927B4"/>
    <w:rsid w:val="008C4106"/>
    <w:rsid w:val="008C783F"/>
    <w:rsid w:val="008F0C77"/>
    <w:rsid w:val="00922511"/>
    <w:rsid w:val="00930E07"/>
    <w:rsid w:val="009340BD"/>
    <w:rsid w:val="00934BE1"/>
    <w:rsid w:val="00950C79"/>
    <w:rsid w:val="009534AE"/>
    <w:rsid w:val="00967297"/>
    <w:rsid w:val="0098083A"/>
    <w:rsid w:val="00982EC8"/>
    <w:rsid w:val="009C163F"/>
    <w:rsid w:val="009D292A"/>
    <w:rsid w:val="009E5736"/>
    <w:rsid w:val="009F4E18"/>
    <w:rsid w:val="009F78CB"/>
    <w:rsid w:val="00A04B1F"/>
    <w:rsid w:val="00A21706"/>
    <w:rsid w:val="00A36B8B"/>
    <w:rsid w:val="00A401F0"/>
    <w:rsid w:val="00A426C9"/>
    <w:rsid w:val="00A440A1"/>
    <w:rsid w:val="00A75C69"/>
    <w:rsid w:val="00AB3B40"/>
    <w:rsid w:val="00AD5B6F"/>
    <w:rsid w:val="00AE16C7"/>
    <w:rsid w:val="00B121C0"/>
    <w:rsid w:val="00B13354"/>
    <w:rsid w:val="00B2128F"/>
    <w:rsid w:val="00B751B5"/>
    <w:rsid w:val="00B831C2"/>
    <w:rsid w:val="00BD0B8D"/>
    <w:rsid w:val="00BF1C30"/>
    <w:rsid w:val="00C35C01"/>
    <w:rsid w:val="00C35E51"/>
    <w:rsid w:val="00C41764"/>
    <w:rsid w:val="00C66161"/>
    <w:rsid w:val="00C903BA"/>
    <w:rsid w:val="00D01F31"/>
    <w:rsid w:val="00D04971"/>
    <w:rsid w:val="00D14B47"/>
    <w:rsid w:val="00D3432A"/>
    <w:rsid w:val="00D4089B"/>
    <w:rsid w:val="00D53724"/>
    <w:rsid w:val="00D60FBE"/>
    <w:rsid w:val="00D650C0"/>
    <w:rsid w:val="00D77994"/>
    <w:rsid w:val="00D81778"/>
    <w:rsid w:val="00DA52CA"/>
    <w:rsid w:val="00DA57B6"/>
    <w:rsid w:val="00DB0275"/>
    <w:rsid w:val="00DB1880"/>
    <w:rsid w:val="00DB3BDD"/>
    <w:rsid w:val="00DE009E"/>
    <w:rsid w:val="00DE21EC"/>
    <w:rsid w:val="00E147BB"/>
    <w:rsid w:val="00E22801"/>
    <w:rsid w:val="00E230AD"/>
    <w:rsid w:val="00E2342E"/>
    <w:rsid w:val="00E302C9"/>
    <w:rsid w:val="00E36DA8"/>
    <w:rsid w:val="00E67B5A"/>
    <w:rsid w:val="00E70CAF"/>
    <w:rsid w:val="00E726B8"/>
    <w:rsid w:val="00E77DBE"/>
    <w:rsid w:val="00E840DF"/>
    <w:rsid w:val="00E95D12"/>
    <w:rsid w:val="00E97ADA"/>
    <w:rsid w:val="00EA74E4"/>
    <w:rsid w:val="00EB5B35"/>
    <w:rsid w:val="00EC6593"/>
    <w:rsid w:val="00EE5CC2"/>
    <w:rsid w:val="00F310D0"/>
    <w:rsid w:val="00F36B36"/>
    <w:rsid w:val="00F73E06"/>
    <w:rsid w:val="00F74087"/>
    <w:rsid w:val="00F806E7"/>
    <w:rsid w:val="00F84082"/>
    <w:rsid w:val="00FC085E"/>
    <w:rsid w:val="00FC3768"/>
    <w:rsid w:val="00FC43E6"/>
    <w:rsid w:val="00FD1A03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3C7462"/>
  <w15:chartTrackingRefBased/>
  <w15:docId w15:val="{7232C52B-DF6F-4A08-B0B0-41339146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38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38EC"/>
    <w:pPr>
      <w:tabs>
        <w:tab w:val="center" w:pos="4320"/>
        <w:tab w:val="right" w:pos="8640"/>
      </w:tabs>
    </w:pPr>
  </w:style>
  <w:style w:type="paragraph" w:customStyle="1" w:styleId="ListParagraph1">
    <w:name w:val="List Paragraph1"/>
    <w:basedOn w:val="Normal"/>
    <w:rsid w:val="00495942"/>
    <w:pPr>
      <w:ind w:left="720"/>
      <w:contextualSpacing/>
    </w:pPr>
    <w:rPr>
      <w:rFonts w:ascii="Calibri" w:hAnsi="Calibri"/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31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FC43E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43E6"/>
    <w:rPr>
      <w:rFonts w:ascii="Tahoma" w:hAnsi="Tahoma" w:cs="Tahoma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rsid w:val="00FF594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F5942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B3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11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1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7F0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ctorat.ubbcluj.ro/ro/sustinerile-publice-ale-tezelor-de-doctorat/?an=2012&amp;luna=0&amp;facultate=3&amp;domeniu=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ACTIVITĂŢI ARACIS 2006 – 2009</vt:lpstr>
      <vt:lpstr>ACTIVITĂŢI ARACIS 2006 – 2009</vt:lpstr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ACTIVITĂŢI ARACIS 2006 – 2009</dc:title>
  <dc:subject/>
  <dc:creator>user</dc:creator>
  <cp:keywords/>
  <cp:lastModifiedBy>Dorina Podar</cp:lastModifiedBy>
  <cp:revision>35</cp:revision>
  <cp:lastPrinted>2025-07-03T09:55:00Z</cp:lastPrinted>
  <dcterms:created xsi:type="dcterms:W3CDTF">2024-10-29T10:14:00Z</dcterms:created>
  <dcterms:modified xsi:type="dcterms:W3CDTF">2025-07-12T05:54:00Z</dcterms:modified>
</cp:coreProperties>
</file>